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p>
    <w:p>
      <w:pPr>
        <w:jc w:val="center"/>
        <w:rPr>
          <w:b/>
          <w:bCs/>
          <w:sz w:val="48"/>
          <w:szCs w:val="48"/>
        </w:rPr>
      </w:pPr>
    </w:p>
    <w:p>
      <w:pPr>
        <w:jc w:val="center"/>
        <w:rPr>
          <w:b/>
          <w:bCs/>
          <w:sz w:val="48"/>
          <w:szCs w:val="48"/>
        </w:rPr>
      </w:pPr>
    </w:p>
    <w:p>
      <w:pPr>
        <w:jc w:val="center"/>
        <w:rPr>
          <w:b/>
          <w:bCs/>
          <w:sz w:val="48"/>
          <w:szCs w:val="48"/>
        </w:rPr>
      </w:pPr>
    </w:p>
    <w:p>
      <w:pPr>
        <w:jc w:val="center"/>
        <w:rPr>
          <w:b/>
          <w:bCs/>
          <w:sz w:val="48"/>
          <w:szCs w:val="48"/>
        </w:rPr>
      </w:pPr>
      <w:r>
        <w:rPr>
          <w:rFonts w:hint="eastAsia"/>
          <w:b/>
          <w:bCs/>
          <w:sz w:val="48"/>
          <w:szCs w:val="48"/>
        </w:rPr>
        <w:t>南通市大数据发展集团有限公司</w:t>
      </w:r>
    </w:p>
    <w:p>
      <w:pPr>
        <w:jc w:val="center"/>
        <w:rPr>
          <w:rFonts w:hint="eastAsia" w:eastAsiaTheme="minorEastAsia"/>
          <w:b/>
          <w:bCs/>
          <w:sz w:val="48"/>
          <w:szCs w:val="48"/>
          <w:lang w:eastAsia="zh-CN"/>
        </w:rPr>
      </w:pPr>
      <w:r>
        <w:rPr>
          <w:rFonts w:hint="eastAsia"/>
          <w:b/>
          <w:bCs/>
          <w:sz w:val="48"/>
          <w:szCs w:val="48"/>
        </w:rPr>
        <w:t>健康南通A</w:t>
      </w:r>
      <w:r>
        <w:rPr>
          <w:b/>
          <w:bCs/>
          <w:sz w:val="48"/>
          <w:szCs w:val="48"/>
        </w:rPr>
        <w:t>PP</w:t>
      </w:r>
      <w:r>
        <w:rPr>
          <w:rFonts w:hint="eastAsia"/>
          <w:b/>
          <w:bCs/>
          <w:sz w:val="48"/>
          <w:szCs w:val="48"/>
        </w:rPr>
        <w:t>运营服务</w:t>
      </w:r>
      <w:r>
        <w:rPr>
          <w:rFonts w:hint="eastAsia"/>
          <w:b/>
          <w:bCs/>
          <w:sz w:val="48"/>
          <w:szCs w:val="48"/>
          <w:lang w:eastAsia="zh-CN"/>
        </w:rPr>
        <w:t>项目</w:t>
      </w:r>
      <w:bookmarkStart w:id="1" w:name="_GoBack"/>
      <w:bookmarkEnd w:id="1"/>
    </w:p>
    <w:p>
      <w:pPr>
        <w:jc w:val="center"/>
        <w:rPr>
          <w:b/>
          <w:bCs/>
          <w:sz w:val="48"/>
          <w:szCs w:val="48"/>
        </w:rPr>
      </w:pPr>
      <w:r>
        <w:rPr>
          <w:rFonts w:hint="eastAsia"/>
          <w:b/>
          <w:bCs/>
          <w:sz w:val="48"/>
          <w:szCs w:val="48"/>
        </w:rPr>
        <w:t>招标需求及评分表</w:t>
      </w:r>
    </w:p>
    <w:p>
      <w:pPr>
        <w:jc w:val="center"/>
        <w:rPr>
          <w:sz w:val="48"/>
          <w:szCs w:val="48"/>
        </w:rPr>
      </w:pPr>
    </w:p>
    <w:p>
      <w:pPr>
        <w:jc w:val="center"/>
        <w:rPr>
          <w:sz w:val="48"/>
          <w:szCs w:val="48"/>
        </w:rPr>
      </w:pPr>
    </w:p>
    <w:p>
      <w:pPr>
        <w:jc w:val="center"/>
        <w:rPr>
          <w:sz w:val="48"/>
          <w:szCs w:val="48"/>
        </w:rPr>
      </w:pPr>
    </w:p>
    <w:p>
      <w:pPr>
        <w:jc w:val="center"/>
        <w:rPr>
          <w:sz w:val="48"/>
          <w:szCs w:val="48"/>
        </w:rPr>
      </w:pPr>
    </w:p>
    <w:p>
      <w:pPr>
        <w:rPr>
          <w:sz w:val="48"/>
          <w:szCs w:val="48"/>
        </w:rPr>
      </w:pPr>
      <w:r>
        <w:rPr>
          <w:rFonts w:hint="eastAsia"/>
          <w:sz w:val="48"/>
          <w:szCs w:val="48"/>
        </w:rPr>
        <w:t xml:space="preserve">                 </w:t>
      </w:r>
      <w:r>
        <w:rPr>
          <w:sz w:val="48"/>
          <w:szCs w:val="48"/>
        </w:rPr>
        <w:t xml:space="preserve"> </w:t>
      </w:r>
    </w:p>
    <w:p>
      <w:pPr>
        <w:jc w:val="center"/>
        <w:rPr>
          <w:sz w:val="48"/>
          <w:szCs w:val="48"/>
        </w:rPr>
      </w:pPr>
    </w:p>
    <w:p>
      <w:pPr>
        <w:jc w:val="center"/>
        <w:rPr>
          <w:sz w:val="48"/>
          <w:szCs w:val="48"/>
        </w:rPr>
      </w:pPr>
    </w:p>
    <w:p>
      <w:pPr>
        <w:jc w:val="center"/>
        <w:rPr>
          <w:sz w:val="48"/>
          <w:szCs w:val="48"/>
        </w:rPr>
      </w:pPr>
    </w:p>
    <w:p>
      <w:pPr>
        <w:jc w:val="center"/>
        <w:rPr>
          <w:sz w:val="48"/>
          <w:szCs w:val="48"/>
        </w:rPr>
      </w:pPr>
    </w:p>
    <w:p>
      <w:pPr>
        <w:jc w:val="center"/>
        <w:rPr>
          <w:sz w:val="48"/>
          <w:szCs w:val="48"/>
        </w:rPr>
      </w:pPr>
    </w:p>
    <w:p>
      <w:pPr>
        <w:jc w:val="center"/>
        <w:rPr>
          <w:sz w:val="48"/>
          <w:szCs w:val="48"/>
        </w:rPr>
      </w:pPr>
    </w:p>
    <w:p>
      <w:pPr>
        <w:rPr>
          <w:sz w:val="48"/>
          <w:szCs w:val="48"/>
        </w:rPr>
      </w:pPr>
    </w:p>
    <w:p>
      <w:pPr>
        <w:spacing w:line="360" w:lineRule="exact"/>
        <w:jc w:val="center"/>
        <w:rPr>
          <w:rFonts w:ascii="宋体" w:hAnsi="宋体"/>
          <w:bCs/>
          <w:sz w:val="36"/>
          <w:szCs w:val="36"/>
        </w:rPr>
      </w:pPr>
      <w:r>
        <w:rPr>
          <w:rFonts w:hint="eastAsia" w:ascii="宋体" w:hAnsi="宋体"/>
          <w:bCs/>
          <w:sz w:val="36"/>
          <w:szCs w:val="36"/>
        </w:rPr>
        <w:t>南通市大数据发展集团有限公司</w:t>
      </w:r>
    </w:p>
    <w:p>
      <w:pPr>
        <w:spacing w:line="360" w:lineRule="exact"/>
        <w:jc w:val="center"/>
        <w:rPr>
          <w:rFonts w:ascii="宋体" w:hAnsi="宋体"/>
          <w:bCs/>
          <w:sz w:val="36"/>
          <w:szCs w:val="36"/>
        </w:rPr>
      </w:pPr>
    </w:p>
    <w:p>
      <w:pPr>
        <w:spacing w:line="360" w:lineRule="exact"/>
        <w:jc w:val="center"/>
        <w:rPr>
          <w:rFonts w:ascii="宋体" w:hAnsi="宋体"/>
          <w:bCs/>
          <w:color w:val="FF0000"/>
          <w:sz w:val="36"/>
          <w:szCs w:val="36"/>
        </w:rPr>
      </w:pPr>
      <w:r>
        <w:rPr>
          <w:rFonts w:hint="eastAsia" w:ascii="宋体" w:hAnsi="宋体"/>
          <w:bCs/>
          <w:sz w:val="36"/>
          <w:szCs w:val="36"/>
        </w:rPr>
        <w:t>2019年</w:t>
      </w:r>
      <w:r>
        <w:rPr>
          <w:rFonts w:hint="eastAsia" w:ascii="宋体" w:hAnsi="宋体"/>
          <w:bCs/>
          <w:sz w:val="36"/>
          <w:szCs w:val="36"/>
          <w:lang w:val="en-US" w:eastAsia="zh-CN"/>
        </w:rPr>
        <w:t>3</w:t>
      </w:r>
      <w:r>
        <w:rPr>
          <w:rFonts w:hint="eastAsia" w:ascii="宋体" w:hAnsi="宋体"/>
          <w:bCs/>
          <w:sz w:val="36"/>
          <w:szCs w:val="36"/>
        </w:rPr>
        <w:t>月</w:t>
      </w:r>
      <w:r>
        <w:rPr>
          <w:rFonts w:hint="eastAsia" w:ascii="宋体" w:hAnsi="宋体"/>
          <w:bCs/>
          <w:sz w:val="36"/>
          <w:szCs w:val="36"/>
          <w:lang w:val="en-US" w:eastAsia="zh-CN"/>
        </w:rPr>
        <w:t>13</w:t>
      </w:r>
      <w:r>
        <w:rPr>
          <w:rFonts w:hint="eastAsia" w:ascii="宋体" w:hAnsi="宋体"/>
          <w:bCs/>
          <w:sz w:val="36"/>
          <w:szCs w:val="36"/>
        </w:rPr>
        <w:t>日</w:t>
      </w:r>
      <w:r>
        <w:rPr>
          <w:rFonts w:hint="eastAsia" w:ascii="宋体" w:hAnsi="宋体"/>
          <w:bCs/>
          <w:color w:val="FF0000"/>
          <w:sz w:val="36"/>
          <w:szCs w:val="36"/>
        </w:rPr>
        <w:t xml:space="preserve">  </w:t>
      </w:r>
    </w:p>
    <w:p>
      <w:pPr>
        <w:spacing w:line="360" w:lineRule="auto"/>
        <w:jc w:val="center"/>
        <w:rPr>
          <w:rFonts w:asciiTheme="majorEastAsia" w:hAnsiTheme="majorEastAsia" w:eastAsiaTheme="majorEastAsia"/>
          <w:b w:val="0"/>
          <w:bCs/>
          <w:sz w:val="44"/>
          <w:szCs w:val="44"/>
        </w:rPr>
      </w:pPr>
    </w:p>
    <w:p>
      <w:pPr>
        <w:spacing w:line="360" w:lineRule="auto"/>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健康南通APP运营服务招标需求及评分表</w:t>
      </w: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ind w:firstLine="566" w:firstLineChars="177"/>
        <w:rPr>
          <w:rFonts w:ascii="黑体" w:hAnsi="黑体" w:eastAsia="黑体"/>
          <w:b/>
          <w:sz w:val="36"/>
        </w:rPr>
      </w:pPr>
      <w:r>
        <w:rPr>
          <w:rFonts w:hint="eastAsia" w:ascii="黑体" w:hAnsi="黑体" w:eastAsia="黑体"/>
          <w:sz w:val="32"/>
          <w:szCs w:val="32"/>
        </w:rPr>
        <w:t>一、</w:t>
      </w:r>
      <w:r>
        <w:rPr>
          <w:rFonts w:hint="eastAsia" w:ascii="黑体" w:hAnsi="黑体" w:eastAsia="黑体"/>
          <w:b/>
          <w:sz w:val="36"/>
        </w:rPr>
        <w:t>背景与现状</w:t>
      </w:r>
    </w:p>
    <w:p>
      <w:pPr>
        <w:tabs>
          <w:tab w:val="left" w:pos="420"/>
          <w:tab w:val="left" w:pos="993"/>
        </w:tabs>
        <w:spacing w:line="360" w:lineRule="auto"/>
        <w:ind w:firstLine="580" w:firstLineChars="177"/>
        <w:rPr>
          <w:rFonts w:ascii="仿宋" w:hAnsi="仿宋" w:eastAsia="仿宋"/>
          <w:spacing w:val="4"/>
          <w:sz w:val="32"/>
          <w:szCs w:val="32"/>
        </w:rPr>
      </w:pPr>
      <w:r>
        <w:rPr>
          <w:rFonts w:hint="eastAsia" w:ascii="仿宋" w:hAnsi="仿宋" w:eastAsia="仿宋"/>
          <w:spacing w:val="4"/>
          <w:sz w:val="32"/>
          <w:szCs w:val="32"/>
        </w:rPr>
        <w:t>《健康中国2030》要求“全面建成统一权威、互联互通的人口健康信息平台，规范和推动互联网+健康医疗服务，创新互联网健康医疗服务模式，持续推进覆盖全生命周期的预防、治疗、康复和自主健康管理一体化的国民健康信息服务。”南通市大数据发展集团有限公司以《健康中国2030》为指引，结合本地情况，对现有医疗行业进行全面的分析，建设“健康南通”APP。</w:t>
      </w:r>
    </w:p>
    <w:p>
      <w:pPr>
        <w:spacing w:line="360" w:lineRule="auto"/>
        <w:ind w:firstLine="580" w:firstLineChars="177"/>
        <w:rPr>
          <w:rFonts w:ascii="仿宋" w:hAnsi="仿宋" w:eastAsia="仿宋"/>
          <w:spacing w:val="4"/>
          <w:sz w:val="32"/>
          <w:szCs w:val="32"/>
        </w:rPr>
      </w:pPr>
      <w:r>
        <w:rPr>
          <w:rFonts w:hint="eastAsia" w:ascii="仿宋" w:hAnsi="仿宋" w:eastAsia="仿宋"/>
          <w:spacing w:val="4"/>
          <w:sz w:val="32"/>
          <w:szCs w:val="32"/>
        </w:rPr>
        <w:t>“健康南通”APP是面向普通大众医疗需求的区域级应用APP应用，内容覆盖预约挂号、诊疗服务、健康档案查询、报告单查询、医疗及健康资讯、自我健康管理、健康百科等。通过移动应用的便捷，享受贴心的服务和指导，建立线上线下一体化的智慧型的城市诊疗及健康管理的就医环境及医患关系。</w:t>
      </w:r>
    </w:p>
    <w:p>
      <w:pPr>
        <w:tabs>
          <w:tab w:val="left" w:pos="420"/>
          <w:tab w:val="left" w:pos="993"/>
        </w:tabs>
        <w:spacing w:line="360" w:lineRule="auto"/>
        <w:ind w:firstLine="580" w:firstLineChars="177"/>
        <w:rPr>
          <w:rFonts w:ascii="仿宋" w:hAnsi="仿宋" w:eastAsia="仿宋"/>
          <w:spacing w:val="4"/>
          <w:sz w:val="32"/>
          <w:szCs w:val="32"/>
        </w:rPr>
      </w:pPr>
      <w:r>
        <w:rPr>
          <w:rFonts w:hint="eastAsia" w:ascii="仿宋" w:hAnsi="仿宋" w:eastAsia="仿宋"/>
          <w:spacing w:val="4"/>
          <w:sz w:val="32"/>
          <w:szCs w:val="32"/>
        </w:rPr>
        <w:t>“健康南通”APP可简化就医流程，进行掌上预约挂号及预约体检，并可以定制叫号提醒，清晰就诊；不受时空限制，掌上查询实时检验检查结果，免去奔波之苦；随时查询健康百科知识，进行实时咨询，把握自己身体健康状况；诊疗服务评价反馈，构建完整的医疗生态环境。</w:t>
      </w:r>
    </w:p>
    <w:p>
      <w:pPr>
        <w:ind w:firstLine="566" w:firstLineChars="177"/>
        <w:rPr>
          <w:rFonts w:ascii="仿宋" w:hAnsi="仿宋" w:eastAsia="仿宋"/>
          <w:sz w:val="32"/>
        </w:rPr>
      </w:pPr>
      <w:r>
        <w:rPr>
          <w:rFonts w:hint="eastAsia" w:ascii="仿宋" w:hAnsi="仿宋" w:eastAsia="仿宋"/>
          <w:sz w:val="32"/>
        </w:rPr>
        <w:t xml:space="preserve"> 目前，健康南通APP开发已基本完成，即将转入运营阶段，运营工作的保障、支撑和引导作用，在内容上分为业务运营和技术维护两大部分，在阶段上划分为上线前和上线后两个阶段。</w:t>
      </w:r>
    </w:p>
    <w:p>
      <w:pPr>
        <w:spacing w:line="360" w:lineRule="auto"/>
        <w:ind w:firstLine="566" w:firstLineChars="177"/>
        <w:rPr>
          <w:rFonts w:ascii="黑体" w:hAnsi="黑体" w:eastAsia="黑体"/>
          <w:sz w:val="32"/>
          <w:szCs w:val="32"/>
        </w:rPr>
      </w:pPr>
      <w:r>
        <w:rPr>
          <w:rFonts w:hint="eastAsia" w:ascii="黑体" w:hAnsi="黑体" w:eastAsia="黑体"/>
          <w:sz w:val="32"/>
          <w:szCs w:val="32"/>
        </w:rPr>
        <w:t>二、运营工作招标需求</w:t>
      </w:r>
    </w:p>
    <w:p>
      <w:pPr>
        <w:spacing w:line="360" w:lineRule="auto"/>
        <w:ind w:firstLine="566" w:firstLineChars="177"/>
        <w:rPr>
          <w:rFonts w:ascii="仿宋" w:hAnsi="仿宋" w:eastAsia="仿宋"/>
          <w:sz w:val="32"/>
        </w:rPr>
      </w:pPr>
      <w:r>
        <w:rPr>
          <w:rFonts w:hint="eastAsia" w:ascii="仿宋" w:hAnsi="仿宋" w:eastAsia="仿宋"/>
          <w:sz w:val="32"/>
        </w:rPr>
        <w:t>南通市大数据发展集团有限公司在“健康南通”APP运营工作方面的主要内容如下：</w:t>
      </w:r>
    </w:p>
    <w:p>
      <w:pPr>
        <w:spacing w:line="360" w:lineRule="auto"/>
        <w:ind w:firstLine="569" w:firstLineChars="177"/>
        <w:rPr>
          <w:rFonts w:ascii="仿宋" w:hAnsi="仿宋" w:eastAsia="仿宋"/>
          <w:b/>
          <w:sz w:val="32"/>
        </w:rPr>
      </w:pPr>
      <w:r>
        <w:rPr>
          <w:rFonts w:hint="eastAsia" w:ascii="仿宋" w:hAnsi="仿宋" w:eastAsia="仿宋"/>
          <w:b/>
          <w:sz w:val="32"/>
        </w:rPr>
        <w:t>（一）APP上线前</w:t>
      </w:r>
    </w:p>
    <w:p>
      <w:pPr>
        <w:spacing w:line="360" w:lineRule="auto"/>
        <w:ind w:firstLine="566" w:firstLineChars="177"/>
        <w:rPr>
          <w:rFonts w:ascii="仿宋" w:hAnsi="仿宋" w:eastAsia="仿宋"/>
          <w:sz w:val="32"/>
        </w:rPr>
      </w:pPr>
      <w:r>
        <w:rPr>
          <w:rFonts w:hint="eastAsia" w:ascii="仿宋" w:hAnsi="仿宋" w:eastAsia="仿宋"/>
          <w:sz w:val="32"/>
        </w:rPr>
        <w:t>1、整合测试与软件整改辅助</w:t>
      </w:r>
    </w:p>
    <w:p>
      <w:pPr>
        <w:spacing w:line="360" w:lineRule="auto"/>
        <w:ind w:firstLine="566" w:firstLineChars="177"/>
        <w:rPr>
          <w:rFonts w:ascii="仿宋" w:hAnsi="仿宋" w:eastAsia="仿宋"/>
          <w:sz w:val="32"/>
        </w:rPr>
      </w:pPr>
      <w:r>
        <w:rPr>
          <w:rFonts w:hint="eastAsia" w:ascii="仿宋" w:hAnsi="仿宋" w:eastAsia="仿宋"/>
          <w:sz w:val="32"/>
        </w:rPr>
        <w:t>组建测试团队，与南通市大数据发展集团委派的相关业务人员共同对APP及各医院接口进行全面的测试和评估，至少完成功能性测试、整合性测试和极端环境测试，需要模拟五万级并发的场景，并给出详细的测试报告。</w:t>
      </w:r>
      <w:r>
        <w:rPr>
          <w:rFonts w:hint="eastAsia" w:ascii="仿宋" w:hAnsi="仿宋" w:eastAsia="仿宋"/>
          <w:b/>
          <w:sz w:val="32"/>
        </w:rPr>
        <w:t>测试团队对APP上线及其后续发布具有一票否决权。</w:t>
      </w:r>
      <w:r>
        <w:rPr>
          <w:rFonts w:hint="eastAsia" w:ascii="仿宋" w:hAnsi="仿宋" w:eastAsia="仿宋"/>
          <w:sz w:val="32"/>
        </w:rPr>
        <w:t>相关运营工作所需数据等由南通市大数据发展集团负责协调开通数据库接口，并授权运营方在南通市大数据发展集团有限公司监管下运营工作中合理使用。运营方测试团队指导并会同开发团队共同先解决APP存在的问题。</w:t>
      </w:r>
    </w:p>
    <w:p>
      <w:pPr>
        <w:spacing w:line="360" w:lineRule="auto"/>
        <w:ind w:firstLine="566" w:firstLineChars="177"/>
        <w:rPr>
          <w:rFonts w:ascii="仿宋" w:hAnsi="仿宋" w:eastAsia="仿宋"/>
          <w:sz w:val="32"/>
        </w:rPr>
      </w:pPr>
      <w:r>
        <w:rPr>
          <w:rFonts w:hint="eastAsia" w:ascii="仿宋" w:hAnsi="仿宋" w:eastAsia="仿宋"/>
          <w:sz w:val="32"/>
        </w:rPr>
        <w:t>2、APP代码接收与查验</w:t>
      </w:r>
    </w:p>
    <w:p>
      <w:pPr>
        <w:spacing w:line="360" w:lineRule="auto"/>
        <w:ind w:firstLine="566" w:firstLineChars="177"/>
        <w:rPr>
          <w:rFonts w:ascii="仿宋" w:hAnsi="仿宋" w:eastAsia="仿宋"/>
          <w:sz w:val="32"/>
        </w:rPr>
      </w:pPr>
      <w:r>
        <w:rPr>
          <w:rFonts w:hint="eastAsia" w:ascii="仿宋" w:hAnsi="仿宋" w:eastAsia="仿宋"/>
          <w:sz w:val="32"/>
        </w:rPr>
        <w:t>为配合APP后续的各项升级、管理与运营和维护工作，需要对APP的整体代码进行接收并进行查验，确保代码的可编译、可部署和可修改，以便整体开展运营维护和应急修改、调整等工作。</w:t>
      </w:r>
    </w:p>
    <w:p>
      <w:pPr>
        <w:spacing w:line="360" w:lineRule="auto"/>
        <w:ind w:firstLine="566" w:firstLineChars="177"/>
        <w:rPr>
          <w:rFonts w:ascii="仿宋" w:hAnsi="仿宋" w:eastAsia="仿宋"/>
          <w:sz w:val="32"/>
        </w:rPr>
      </w:pPr>
      <w:r>
        <w:rPr>
          <w:rFonts w:hint="eastAsia" w:ascii="仿宋" w:hAnsi="仿宋" w:eastAsia="仿宋"/>
          <w:sz w:val="32"/>
        </w:rPr>
        <w:t>3、代码安全性检测</w:t>
      </w:r>
    </w:p>
    <w:p>
      <w:pPr>
        <w:spacing w:line="360" w:lineRule="auto"/>
        <w:ind w:firstLine="566" w:firstLineChars="177"/>
        <w:rPr>
          <w:rFonts w:ascii="仿宋" w:hAnsi="仿宋" w:eastAsia="仿宋"/>
          <w:sz w:val="32"/>
        </w:rPr>
      </w:pPr>
      <w:r>
        <w:rPr>
          <w:rFonts w:hint="eastAsia" w:ascii="仿宋" w:hAnsi="仿宋" w:eastAsia="仿宋"/>
          <w:sz w:val="32"/>
        </w:rPr>
        <w:t>组织测试人员、业务人员和安全人员对代码的安全性进行检查测试，确保代码中不存在未剔除的测试代码、排除内存泄漏隐患、检查代码中的不安全的操作动作、检查数据操作事务处理的安全合理，检查软件异常处理，对各类禁止性事项（例如统方操作等）进行代码级排查排除。</w:t>
      </w:r>
    </w:p>
    <w:p>
      <w:pPr>
        <w:spacing w:line="360" w:lineRule="auto"/>
        <w:ind w:firstLine="566" w:firstLineChars="177"/>
        <w:rPr>
          <w:rFonts w:ascii="仿宋" w:hAnsi="仿宋" w:eastAsia="仿宋"/>
          <w:sz w:val="32"/>
        </w:rPr>
      </w:pPr>
      <w:r>
        <w:rPr>
          <w:rFonts w:hint="eastAsia" w:ascii="仿宋" w:hAnsi="仿宋" w:eastAsia="仿宋"/>
          <w:sz w:val="32"/>
        </w:rPr>
        <w:t>4、整体安全性设计与整改辅助</w:t>
      </w:r>
    </w:p>
    <w:p>
      <w:pPr>
        <w:spacing w:line="360" w:lineRule="auto"/>
        <w:ind w:firstLine="566" w:firstLineChars="177"/>
        <w:rPr>
          <w:rFonts w:ascii="仿宋" w:hAnsi="仿宋" w:eastAsia="仿宋"/>
          <w:sz w:val="32"/>
        </w:rPr>
      </w:pPr>
      <w:r>
        <w:rPr>
          <w:rFonts w:hint="eastAsia" w:ascii="仿宋" w:hAnsi="仿宋" w:eastAsia="仿宋"/>
          <w:sz w:val="32"/>
        </w:rPr>
        <w:t>对APP的部署、接入、运营、使用以及日常维护与应用的应急进行整体安全性的设计，并辅助南通市大数据发展集团有限公司进行与APP运营相关的安全性整改。</w:t>
      </w:r>
    </w:p>
    <w:p>
      <w:pPr>
        <w:spacing w:line="360" w:lineRule="auto"/>
        <w:ind w:firstLine="566" w:firstLineChars="177"/>
        <w:rPr>
          <w:rFonts w:ascii="仿宋" w:hAnsi="仿宋" w:eastAsia="仿宋"/>
          <w:sz w:val="32"/>
        </w:rPr>
      </w:pPr>
      <w:r>
        <w:rPr>
          <w:rFonts w:hint="eastAsia" w:ascii="仿宋" w:hAnsi="仿宋" w:eastAsia="仿宋"/>
          <w:sz w:val="32"/>
        </w:rPr>
        <w:t>5、运营团队建设</w:t>
      </w:r>
    </w:p>
    <w:p>
      <w:pPr>
        <w:spacing w:line="360" w:lineRule="auto"/>
        <w:ind w:firstLine="566" w:firstLineChars="177"/>
        <w:rPr>
          <w:rFonts w:ascii="仿宋" w:hAnsi="仿宋" w:eastAsia="仿宋"/>
          <w:sz w:val="32"/>
        </w:rPr>
      </w:pPr>
      <w:r>
        <w:rPr>
          <w:rFonts w:hint="eastAsia" w:ascii="仿宋" w:hAnsi="仿宋" w:eastAsia="仿宋"/>
          <w:sz w:val="32"/>
        </w:rPr>
        <w:t>基于总体设计和南通市大数据发展集团有限公司对APP运营的要求，在南通本地建立不少于5人的运营核心团队组成“健康南通运营中心”，包括1名运营负责人（总牵头人）、1名技术负责人（总体负责技术研发、安全监管、应急保障和软件测试），1名运营班主管（总体负责对外的日常业务运营团队工作）和至少2名骨干坐席员，并在本地适时招募运营坐席员、技术工程师、运维工程师等工作人员。全面承担APP的日常运营和应急处置工作。</w:t>
      </w:r>
    </w:p>
    <w:p>
      <w:pPr>
        <w:spacing w:line="360" w:lineRule="auto"/>
        <w:ind w:firstLine="566" w:firstLineChars="177"/>
        <w:rPr>
          <w:rFonts w:ascii="仿宋" w:hAnsi="仿宋" w:eastAsia="仿宋"/>
          <w:color w:val="FF0000"/>
          <w:sz w:val="32"/>
        </w:rPr>
      </w:pPr>
      <w:r>
        <w:rPr>
          <w:rFonts w:hint="eastAsia" w:ascii="仿宋" w:hAnsi="仿宋" w:eastAsia="仿宋"/>
          <w:sz w:val="32"/>
        </w:rPr>
        <w:t>由南通市大数据发展集团有限公司牵头，推动各医疗机构和公卫单位指定各单位的运营工作负责人员，与运营中心对接，协同保障运营工作的开展。建立7</w:t>
      </w:r>
      <w:r>
        <w:rPr>
          <w:rFonts w:ascii="仿宋" w:hAnsi="仿宋" w:eastAsia="仿宋"/>
          <w:sz w:val="32"/>
        </w:rPr>
        <w:t>✖</w:t>
      </w:r>
      <w:r>
        <w:rPr>
          <w:rFonts w:hint="eastAsia" w:ascii="仿宋" w:hAnsi="仿宋" w:eastAsia="仿宋"/>
          <w:sz w:val="32"/>
        </w:rPr>
        <w:t>24小时运营机制和日常维护机制，确保出现软件问题2小时内解决，重大硬件事故4小时内解决。</w:t>
      </w:r>
    </w:p>
    <w:p>
      <w:pPr>
        <w:spacing w:line="360" w:lineRule="auto"/>
        <w:ind w:firstLine="566" w:firstLineChars="177"/>
        <w:rPr>
          <w:rFonts w:ascii="仿宋" w:hAnsi="仿宋" w:eastAsia="仿宋"/>
          <w:sz w:val="32"/>
        </w:rPr>
      </w:pPr>
      <w:r>
        <w:rPr>
          <w:rFonts w:hint="eastAsia" w:ascii="仿宋" w:hAnsi="仿宋" w:eastAsia="仿宋"/>
          <w:sz w:val="32"/>
        </w:rPr>
        <w:t>6、运营制度、体系建设</w:t>
      </w:r>
    </w:p>
    <w:p>
      <w:pPr>
        <w:spacing w:line="360" w:lineRule="auto"/>
        <w:ind w:firstLine="566" w:firstLineChars="177"/>
        <w:rPr>
          <w:rFonts w:ascii="仿宋" w:hAnsi="仿宋" w:eastAsia="仿宋"/>
          <w:sz w:val="32"/>
        </w:rPr>
      </w:pPr>
      <w:r>
        <w:rPr>
          <w:rFonts w:hint="eastAsia" w:ascii="仿宋" w:hAnsi="仿宋" w:eastAsia="仿宋"/>
          <w:sz w:val="32"/>
        </w:rPr>
        <w:t>基于总体设计和南通市大数据发展集团有限公司对APP运营的要求以及实际运营场景的需求，建设运营中心的各项流程、制度，规定规范等，以保障运营工作开展。</w:t>
      </w:r>
    </w:p>
    <w:p>
      <w:pPr>
        <w:spacing w:line="360" w:lineRule="auto"/>
        <w:ind w:firstLine="566" w:firstLineChars="177"/>
        <w:rPr>
          <w:rFonts w:ascii="仿宋" w:hAnsi="仿宋" w:eastAsia="仿宋"/>
          <w:sz w:val="32"/>
        </w:rPr>
      </w:pPr>
      <w:r>
        <w:rPr>
          <w:rFonts w:hint="eastAsia" w:ascii="仿宋" w:hAnsi="仿宋" w:eastAsia="仿宋"/>
          <w:sz w:val="32"/>
        </w:rPr>
        <w:t>7、运营所需工具、软件等的开发</w:t>
      </w:r>
    </w:p>
    <w:p>
      <w:pPr>
        <w:spacing w:line="360" w:lineRule="auto"/>
        <w:ind w:firstLine="566" w:firstLineChars="177"/>
        <w:rPr>
          <w:rFonts w:ascii="仿宋" w:hAnsi="仿宋" w:eastAsia="仿宋"/>
          <w:sz w:val="32"/>
        </w:rPr>
      </w:pPr>
      <w:r>
        <w:rPr>
          <w:rFonts w:hint="eastAsia" w:ascii="仿宋" w:hAnsi="仿宋" w:eastAsia="仿宋"/>
          <w:sz w:val="32"/>
        </w:rPr>
        <w:t>针对运营、维护和管理所必须用的各类表单、报表、工具软件等的开发等工作。</w:t>
      </w:r>
    </w:p>
    <w:p>
      <w:pPr>
        <w:spacing w:line="360" w:lineRule="auto"/>
        <w:ind w:firstLine="569" w:firstLineChars="177"/>
        <w:rPr>
          <w:rFonts w:ascii="仿宋" w:hAnsi="仿宋" w:eastAsia="仿宋"/>
          <w:b/>
          <w:sz w:val="32"/>
        </w:rPr>
      </w:pPr>
      <w:r>
        <w:rPr>
          <w:rFonts w:hint="eastAsia" w:ascii="仿宋" w:hAnsi="仿宋" w:eastAsia="仿宋"/>
          <w:b/>
          <w:sz w:val="32"/>
        </w:rPr>
        <w:t>（二）APP上线后</w:t>
      </w:r>
    </w:p>
    <w:p>
      <w:pPr>
        <w:spacing w:line="360" w:lineRule="auto"/>
        <w:ind w:firstLine="566" w:firstLineChars="177"/>
        <w:rPr>
          <w:rFonts w:ascii="仿宋" w:hAnsi="仿宋" w:eastAsia="仿宋"/>
          <w:sz w:val="32"/>
        </w:rPr>
      </w:pPr>
      <w:r>
        <w:rPr>
          <w:rFonts w:hint="eastAsia" w:ascii="仿宋" w:hAnsi="仿宋" w:eastAsia="仿宋"/>
          <w:sz w:val="32"/>
        </w:rPr>
        <w:t>1、组织实施APP日常业务运营，包括并不限于如下工作：</w:t>
      </w:r>
    </w:p>
    <w:p>
      <w:pPr>
        <w:spacing w:line="360" w:lineRule="auto"/>
        <w:ind w:firstLine="566" w:firstLineChars="177"/>
        <w:rPr>
          <w:rFonts w:ascii="仿宋" w:hAnsi="仿宋" w:eastAsia="仿宋"/>
          <w:sz w:val="32"/>
        </w:rPr>
      </w:pPr>
      <w:r>
        <w:rPr>
          <w:rFonts w:hint="eastAsia" w:ascii="仿宋" w:hAnsi="仿宋" w:eastAsia="仿宋"/>
          <w:sz w:val="32"/>
        </w:rPr>
        <w:t>用户日常电话、网络、现场等咨询的接听与回复；</w:t>
      </w:r>
    </w:p>
    <w:p>
      <w:pPr>
        <w:spacing w:line="360" w:lineRule="auto"/>
        <w:ind w:firstLine="566" w:firstLineChars="177"/>
        <w:rPr>
          <w:rFonts w:ascii="仿宋" w:hAnsi="仿宋" w:eastAsia="仿宋"/>
          <w:sz w:val="32"/>
        </w:rPr>
      </w:pPr>
      <w:r>
        <w:rPr>
          <w:rFonts w:hint="eastAsia" w:ascii="仿宋" w:hAnsi="仿宋" w:eastAsia="仿宋"/>
          <w:sz w:val="32"/>
        </w:rPr>
        <w:t>用户求助工作的支持；</w:t>
      </w:r>
    </w:p>
    <w:p>
      <w:pPr>
        <w:spacing w:line="360" w:lineRule="auto"/>
        <w:ind w:firstLine="566" w:firstLineChars="177"/>
        <w:rPr>
          <w:rFonts w:ascii="仿宋" w:hAnsi="仿宋" w:eastAsia="仿宋"/>
          <w:sz w:val="32"/>
        </w:rPr>
      </w:pPr>
      <w:r>
        <w:rPr>
          <w:rFonts w:hint="eastAsia" w:ascii="仿宋" w:hAnsi="仿宋" w:eastAsia="仿宋"/>
          <w:sz w:val="32"/>
        </w:rPr>
        <w:t>投诉工作接待与跟踪处置；</w:t>
      </w:r>
    </w:p>
    <w:p>
      <w:pPr>
        <w:spacing w:line="360" w:lineRule="auto"/>
        <w:ind w:firstLine="566" w:firstLineChars="177"/>
        <w:rPr>
          <w:rFonts w:ascii="仿宋" w:hAnsi="仿宋" w:eastAsia="仿宋"/>
          <w:sz w:val="32"/>
        </w:rPr>
      </w:pPr>
      <w:r>
        <w:rPr>
          <w:rFonts w:hint="eastAsia" w:ascii="仿宋" w:hAnsi="仿宋" w:eastAsia="仿宋"/>
          <w:sz w:val="32"/>
        </w:rPr>
        <w:t>紧急故障、事故的通知通报与宣传解释；</w:t>
      </w:r>
    </w:p>
    <w:p>
      <w:pPr>
        <w:spacing w:line="360" w:lineRule="auto"/>
        <w:ind w:firstLine="566" w:firstLineChars="177"/>
        <w:rPr>
          <w:rFonts w:ascii="仿宋" w:hAnsi="仿宋" w:eastAsia="仿宋"/>
          <w:sz w:val="32"/>
        </w:rPr>
      </w:pPr>
      <w:r>
        <w:rPr>
          <w:rFonts w:hint="eastAsia" w:ascii="仿宋" w:hAnsi="仿宋" w:eastAsia="仿宋"/>
          <w:sz w:val="32"/>
        </w:rPr>
        <w:t>对群众的意见、建议和呼声最大的不满进行记录和整理；</w:t>
      </w:r>
    </w:p>
    <w:p>
      <w:pPr>
        <w:spacing w:line="360" w:lineRule="auto"/>
        <w:ind w:firstLine="566" w:firstLineChars="177"/>
        <w:rPr>
          <w:rFonts w:ascii="仿宋" w:hAnsi="仿宋" w:eastAsia="仿宋"/>
          <w:sz w:val="32"/>
        </w:rPr>
      </w:pPr>
      <w:r>
        <w:rPr>
          <w:rFonts w:hint="eastAsia" w:ascii="仿宋" w:hAnsi="仿宋" w:eastAsia="仿宋"/>
          <w:sz w:val="32"/>
        </w:rPr>
        <w:t>重大迎检、重大活动的业务保障；</w:t>
      </w:r>
    </w:p>
    <w:p>
      <w:pPr>
        <w:spacing w:line="360" w:lineRule="auto"/>
        <w:ind w:firstLine="566" w:firstLineChars="177"/>
        <w:rPr>
          <w:rFonts w:ascii="仿宋" w:hAnsi="仿宋" w:eastAsia="仿宋"/>
          <w:sz w:val="32"/>
        </w:rPr>
      </w:pPr>
      <w:r>
        <w:rPr>
          <w:rFonts w:hint="eastAsia" w:ascii="仿宋" w:hAnsi="仿宋" w:eastAsia="仿宋"/>
          <w:sz w:val="32"/>
        </w:rPr>
        <w:t>医院互联网服务质量的抽样跟踪回访；</w:t>
      </w:r>
    </w:p>
    <w:p>
      <w:pPr>
        <w:spacing w:line="360" w:lineRule="auto"/>
        <w:ind w:firstLine="566" w:firstLineChars="177"/>
        <w:rPr>
          <w:rFonts w:ascii="仿宋" w:hAnsi="仿宋" w:eastAsia="仿宋"/>
          <w:sz w:val="32"/>
        </w:rPr>
      </w:pPr>
      <w:r>
        <w:rPr>
          <w:rFonts w:hint="eastAsia" w:ascii="仿宋" w:hAnsi="仿宋" w:eastAsia="仿宋"/>
          <w:sz w:val="32"/>
        </w:rPr>
        <w:t>对收集的用户反映问题、进行分析、归类和整理并提交给技术部门分析；</w:t>
      </w:r>
    </w:p>
    <w:p>
      <w:pPr>
        <w:spacing w:line="360" w:lineRule="auto"/>
        <w:ind w:firstLine="566" w:firstLineChars="177"/>
        <w:rPr>
          <w:rFonts w:ascii="仿宋" w:hAnsi="仿宋" w:eastAsia="仿宋"/>
          <w:sz w:val="32"/>
        </w:rPr>
      </w:pPr>
      <w:r>
        <w:rPr>
          <w:rFonts w:hint="eastAsia" w:ascii="仿宋" w:hAnsi="仿宋" w:eastAsia="仿宋"/>
          <w:sz w:val="32"/>
        </w:rPr>
        <w:t>2、组织实施APP技术维护与应急处置，</w:t>
      </w:r>
      <w:r>
        <w:rPr>
          <w:rFonts w:ascii="仿宋" w:hAnsi="仿宋" w:eastAsia="仿宋"/>
          <w:sz w:val="32"/>
        </w:rPr>
        <w:tab/>
      </w:r>
      <w:r>
        <w:rPr>
          <w:rFonts w:hint="eastAsia" w:ascii="仿宋" w:hAnsi="仿宋" w:eastAsia="仿宋"/>
          <w:sz w:val="32"/>
        </w:rPr>
        <w:t>包括并且不限于如下工作：</w:t>
      </w:r>
    </w:p>
    <w:p>
      <w:pPr>
        <w:spacing w:line="360" w:lineRule="auto"/>
        <w:ind w:firstLine="566" w:firstLineChars="177"/>
        <w:rPr>
          <w:rFonts w:ascii="仿宋" w:hAnsi="仿宋" w:eastAsia="仿宋"/>
          <w:sz w:val="32"/>
        </w:rPr>
      </w:pPr>
      <w:r>
        <w:rPr>
          <w:rFonts w:hint="eastAsia" w:ascii="仿宋" w:hAnsi="仿宋" w:eastAsia="仿宋"/>
          <w:sz w:val="32"/>
        </w:rPr>
        <w:t>APP运行状态跟踪，对资源使用情况进行监控，必要时申请资源支持；</w:t>
      </w:r>
    </w:p>
    <w:p>
      <w:pPr>
        <w:spacing w:line="360" w:lineRule="auto"/>
        <w:ind w:firstLine="566" w:firstLineChars="177"/>
        <w:rPr>
          <w:rFonts w:ascii="仿宋" w:hAnsi="仿宋" w:eastAsia="仿宋"/>
          <w:sz w:val="32"/>
        </w:rPr>
      </w:pPr>
      <w:r>
        <w:rPr>
          <w:rFonts w:hint="eastAsia" w:ascii="仿宋" w:hAnsi="仿宋" w:eastAsia="仿宋"/>
          <w:sz w:val="32"/>
        </w:rPr>
        <w:t>对运营组整理、提交的问题进行分析和测试，寻找根源，并进行分级处理：</w:t>
      </w:r>
    </w:p>
    <w:p>
      <w:pPr>
        <w:spacing w:line="360" w:lineRule="auto"/>
        <w:ind w:firstLine="566" w:firstLineChars="177"/>
        <w:rPr>
          <w:rFonts w:ascii="仿宋" w:hAnsi="仿宋" w:eastAsia="仿宋"/>
          <w:sz w:val="32"/>
        </w:rPr>
      </w:pPr>
      <w:r>
        <w:rPr>
          <w:rFonts w:hint="eastAsia" w:ascii="仿宋" w:hAnsi="仿宋" w:eastAsia="仿宋"/>
          <w:sz w:val="32"/>
        </w:rPr>
        <w:t>对操作性问题引发的，对运营组加强培训；</w:t>
      </w:r>
    </w:p>
    <w:p>
      <w:pPr>
        <w:spacing w:line="360" w:lineRule="auto"/>
        <w:ind w:firstLine="566" w:firstLineChars="177"/>
        <w:rPr>
          <w:rFonts w:ascii="仿宋" w:hAnsi="仿宋" w:eastAsia="仿宋"/>
          <w:sz w:val="32"/>
        </w:rPr>
      </w:pPr>
      <w:r>
        <w:rPr>
          <w:rFonts w:hint="eastAsia" w:ascii="仿宋" w:hAnsi="仿宋" w:eastAsia="仿宋"/>
          <w:sz w:val="32"/>
        </w:rPr>
        <w:t>简单的bug、小范围不涉及数据结构的APP软件调整进行修改；</w:t>
      </w:r>
    </w:p>
    <w:p>
      <w:pPr>
        <w:spacing w:line="360" w:lineRule="auto"/>
        <w:ind w:firstLine="566" w:firstLineChars="177"/>
        <w:rPr>
          <w:rFonts w:ascii="仿宋" w:hAnsi="仿宋" w:eastAsia="仿宋"/>
          <w:sz w:val="32"/>
        </w:rPr>
      </w:pPr>
      <w:r>
        <w:rPr>
          <w:rFonts w:hint="eastAsia" w:ascii="仿宋" w:hAnsi="仿宋" w:eastAsia="仿宋"/>
          <w:sz w:val="32"/>
        </w:rPr>
        <w:t>需要开发公司进行修改的内容则进行整理并形成文档，提交给南通市大数据发展集团有限公司。</w:t>
      </w:r>
    </w:p>
    <w:p>
      <w:pPr>
        <w:spacing w:line="360" w:lineRule="auto"/>
        <w:ind w:firstLine="566" w:firstLineChars="177"/>
        <w:rPr>
          <w:rFonts w:ascii="仿宋" w:hAnsi="仿宋" w:eastAsia="仿宋"/>
          <w:sz w:val="32"/>
        </w:rPr>
      </w:pPr>
      <w:r>
        <w:rPr>
          <w:rFonts w:hint="eastAsia" w:ascii="仿宋" w:hAnsi="仿宋" w:eastAsia="仿宋"/>
          <w:sz w:val="32"/>
        </w:rPr>
        <w:t>协助开发公司对APP进行升级改造；</w:t>
      </w:r>
    </w:p>
    <w:p>
      <w:pPr>
        <w:spacing w:line="360" w:lineRule="auto"/>
        <w:ind w:firstLine="566" w:firstLineChars="177"/>
        <w:rPr>
          <w:rFonts w:ascii="仿宋" w:hAnsi="仿宋" w:eastAsia="仿宋"/>
          <w:sz w:val="32"/>
        </w:rPr>
      </w:pPr>
      <w:r>
        <w:rPr>
          <w:rFonts w:hint="eastAsia" w:ascii="仿宋" w:hAnsi="仿宋" w:eastAsia="仿宋"/>
          <w:sz w:val="32"/>
        </w:rPr>
        <w:t>对APP的新版本进行全面测试，接收代码，通过测试后统一进行发布；</w:t>
      </w:r>
    </w:p>
    <w:p>
      <w:pPr>
        <w:spacing w:line="360" w:lineRule="auto"/>
        <w:ind w:firstLine="566" w:firstLineChars="177"/>
        <w:rPr>
          <w:rFonts w:ascii="仿宋" w:hAnsi="仿宋" w:eastAsia="仿宋"/>
          <w:sz w:val="32"/>
        </w:rPr>
      </w:pPr>
      <w:r>
        <w:rPr>
          <w:rFonts w:hint="eastAsia" w:ascii="仿宋" w:hAnsi="仿宋" w:eastAsia="仿宋"/>
          <w:sz w:val="32"/>
        </w:rPr>
        <w:t>对发生的紧急故障、事故等进行应急抢修、恢复；</w:t>
      </w:r>
    </w:p>
    <w:p>
      <w:pPr>
        <w:spacing w:line="360" w:lineRule="auto"/>
        <w:ind w:firstLine="566" w:firstLineChars="177"/>
        <w:rPr>
          <w:rFonts w:ascii="仿宋" w:hAnsi="仿宋" w:eastAsia="仿宋"/>
          <w:sz w:val="32"/>
        </w:rPr>
      </w:pPr>
      <w:r>
        <w:rPr>
          <w:rFonts w:hint="eastAsia" w:ascii="仿宋" w:hAnsi="仿宋" w:eastAsia="仿宋"/>
          <w:sz w:val="32"/>
        </w:rPr>
        <w:t>日常安全监控，对安全事件进行紧急处置；</w:t>
      </w:r>
    </w:p>
    <w:p>
      <w:pPr>
        <w:spacing w:line="360" w:lineRule="auto"/>
        <w:ind w:firstLine="566" w:firstLineChars="177"/>
        <w:rPr>
          <w:rFonts w:ascii="仿宋" w:hAnsi="仿宋" w:eastAsia="仿宋"/>
          <w:sz w:val="32"/>
        </w:rPr>
      </w:pPr>
      <w:r>
        <w:rPr>
          <w:rFonts w:hint="eastAsia" w:ascii="仿宋" w:hAnsi="仿宋" w:eastAsia="仿宋"/>
          <w:sz w:val="32"/>
        </w:rPr>
        <w:t>支持接入的各医疗机构、公卫机构；</w:t>
      </w:r>
    </w:p>
    <w:p>
      <w:pPr>
        <w:spacing w:line="360" w:lineRule="auto"/>
        <w:ind w:firstLine="566" w:firstLineChars="177"/>
        <w:rPr>
          <w:rFonts w:ascii="仿宋" w:hAnsi="仿宋" w:eastAsia="仿宋"/>
          <w:sz w:val="32"/>
        </w:rPr>
      </w:pPr>
      <w:r>
        <w:rPr>
          <w:rFonts w:hint="eastAsia" w:ascii="仿宋" w:hAnsi="仿宋" w:eastAsia="仿宋"/>
          <w:sz w:val="32"/>
        </w:rPr>
        <w:t>3、对日常运营工作进行分析与升级建议</w:t>
      </w:r>
    </w:p>
    <w:p>
      <w:pPr>
        <w:spacing w:line="360" w:lineRule="auto"/>
        <w:ind w:firstLine="566" w:firstLineChars="177"/>
        <w:rPr>
          <w:rFonts w:ascii="仿宋" w:hAnsi="仿宋" w:eastAsia="仿宋"/>
          <w:sz w:val="32"/>
        </w:rPr>
      </w:pPr>
      <w:r>
        <w:rPr>
          <w:rFonts w:hint="eastAsia" w:ascii="仿宋" w:hAnsi="仿宋" w:eastAsia="仿宋"/>
          <w:sz w:val="32"/>
        </w:rPr>
        <w:t>对运营工作日报表、月统计表等进行分析， 对注册用户、活跃用户、渗透率、留存率等关键指标进行分析，并向南通市大数据发展集团有限公司提交分析报告，提出改进建议；</w:t>
      </w:r>
    </w:p>
    <w:p>
      <w:pPr>
        <w:spacing w:line="360" w:lineRule="auto"/>
        <w:ind w:firstLine="566" w:firstLineChars="177"/>
        <w:rPr>
          <w:rFonts w:ascii="仿宋" w:hAnsi="仿宋" w:eastAsia="仿宋"/>
          <w:sz w:val="32"/>
        </w:rPr>
      </w:pPr>
      <w:r>
        <w:rPr>
          <w:rFonts w:hint="eastAsia" w:ascii="仿宋" w:hAnsi="仿宋" w:eastAsia="仿宋"/>
          <w:sz w:val="32"/>
        </w:rPr>
        <w:t>根据日常运营的情况和发展分析，向南通市大数据发展集团有限公司提出APP升级优化建议，并协助开发人员开展工作；</w:t>
      </w:r>
    </w:p>
    <w:p>
      <w:pPr>
        <w:spacing w:line="360" w:lineRule="auto"/>
        <w:ind w:firstLine="566" w:firstLineChars="177"/>
        <w:rPr>
          <w:rFonts w:ascii="仿宋" w:hAnsi="仿宋" w:eastAsia="仿宋"/>
          <w:sz w:val="32"/>
        </w:rPr>
      </w:pPr>
      <w:r>
        <w:rPr>
          <w:rFonts w:hint="eastAsia" w:ascii="仿宋" w:hAnsi="仿宋" w:eastAsia="仿宋"/>
          <w:sz w:val="32"/>
        </w:rPr>
        <w:t>对各接入医疗机构、公卫机构的协同情况进行分析，并向南通市大数据发展集团有限公司提交报告和建议；</w:t>
      </w:r>
    </w:p>
    <w:p>
      <w:pPr>
        <w:spacing w:line="360" w:lineRule="auto"/>
        <w:ind w:firstLine="566" w:firstLineChars="177"/>
        <w:rPr>
          <w:rFonts w:ascii="仿宋" w:hAnsi="仿宋" w:eastAsia="仿宋"/>
          <w:sz w:val="32"/>
        </w:rPr>
      </w:pPr>
      <w:r>
        <w:rPr>
          <w:rFonts w:hint="eastAsia" w:ascii="仿宋" w:hAnsi="仿宋" w:eastAsia="仿宋"/>
          <w:sz w:val="32"/>
        </w:rPr>
        <w:t>对APP日常对资源使用情况、安全情况、被攻击情况等关键信息进行分析，并提出整改意见和改进建议。</w:t>
      </w:r>
    </w:p>
    <w:p>
      <w:pPr>
        <w:spacing w:line="360" w:lineRule="auto"/>
        <w:ind w:firstLine="566" w:firstLineChars="177"/>
        <w:rPr>
          <w:rFonts w:ascii="仿宋" w:hAnsi="仿宋" w:eastAsia="仿宋"/>
          <w:sz w:val="32"/>
        </w:rPr>
      </w:pPr>
      <w:r>
        <w:rPr>
          <w:rFonts w:hint="eastAsia" w:ascii="仿宋" w:hAnsi="仿宋" w:eastAsia="仿宋"/>
          <w:sz w:val="32"/>
        </w:rPr>
        <w:t>4、APP推广工作的支撑与服务</w:t>
      </w:r>
    </w:p>
    <w:p>
      <w:pPr>
        <w:spacing w:line="360" w:lineRule="auto"/>
        <w:ind w:firstLine="566" w:firstLineChars="177"/>
        <w:rPr>
          <w:rFonts w:ascii="仿宋" w:hAnsi="仿宋" w:eastAsia="仿宋"/>
          <w:sz w:val="32"/>
        </w:rPr>
      </w:pPr>
      <w:r>
        <w:rPr>
          <w:rFonts w:hint="eastAsia" w:ascii="仿宋" w:hAnsi="仿宋" w:eastAsia="仿宋"/>
          <w:sz w:val="32"/>
        </w:rPr>
        <w:t>根据南通市大数据发展集团有限公司的规定，发布相关的信息、通知、广告等信息内容；</w:t>
      </w:r>
    </w:p>
    <w:p>
      <w:pPr>
        <w:spacing w:line="360" w:lineRule="auto"/>
        <w:ind w:firstLine="566" w:firstLineChars="177"/>
        <w:rPr>
          <w:rFonts w:ascii="仿宋" w:hAnsi="仿宋" w:eastAsia="仿宋"/>
          <w:sz w:val="32"/>
        </w:rPr>
      </w:pPr>
      <w:r>
        <w:rPr>
          <w:rFonts w:hint="eastAsia" w:ascii="仿宋" w:hAnsi="仿宋" w:eastAsia="仿宋"/>
          <w:sz w:val="32"/>
        </w:rPr>
        <w:t>根据地推团队的计划，安排运营力量和技术力量进行保障和支撑；</w:t>
      </w:r>
    </w:p>
    <w:p>
      <w:pPr>
        <w:spacing w:line="360" w:lineRule="auto"/>
        <w:ind w:firstLine="566" w:firstLineChars="177"/>
        <w:rPr>
          <w:rFonts w:ascii="仿宋" w:hAnsi="仿宋" w:eastAsia="仿宋"/>
          <w:sz w:val="32"/>
        </w:rPr>
      </w:pPr>
      <w:r>
        <w:rPr>
          <w:rFonts w:hint="eastAsia" w:ascii="仿宋" w:hAnsi="仿宋" w:eastAsia="仿宋"/>
          <w:sz w:val="32"/>
        </w:rPr>
        <w:t>5、其他推广支撑工作</w:t>
      </w:r>
    </w:p>
    <w:p>
      <w:pPr>
        <w:ind w:firstLine="566" w:firstLineChars="177"/>
        <w:rPr>
          <w:rFonts w:ascii="仿宋" w:hAnsi="仿宋" w:eastAsia="仿宋"/>
          <w:sz w:val="32"/>
        </w:rPr>
      </w:pPr>
      <w:r>
        <w:rPr>
          <w:rFonts w:hint="eastAsia" w:ascii="仿宋" w:hAnsi="仿宋" w:eastAsia="仿宋"/>
          <w:sz w:val="32"/>
        </w:rPr>
        <w:t>投标人必须根据上述招标需求制定详细的投标方案，进行实质性响应。</w:t>
      </w:r>
    </w:p>
    <w:p>
      <w:pPr>
        <w:spacing w:line="360" w:lineRule="auto"/>
        <w:ind w:firstLine="566" w:firstLineChars="177"/>
        <w:rPr>
          <w:rFonts w:ascii="黑体" w:hAnsi="黑体" w:eastAsia="黑体"/>
          <w:sz w:val="32"/>
          <w:szCs w:val="32"/>
        </w:rPr>
      </w:pPr>
      <w:r>
        <w:rPr>
          <w:rFonts w:hint="eastAsia" w:ascii="黑体" w:hAnsi="黑体" w:eastAsia="黑体"/>
          <w:sz w:val="32"/>
          <w:szCs w:val="32"/>
        </w:rPr>
        <w:t>三、其他需求</w:t>
      </w:r>
    </w:p>
    <w:p>
      <w:pPr>
        <w:ind w:firstLine="566" w:firstLineChars="177"/>
        <w:rPr>
          <w:rFonts w:ascii="仿宋" w:hAnsi="仿宋" w:eastAsia="仿宋"/>
          <w:sz w:val="32"/>
        </w:rPr>
      </w:pPr>
      <w:r>
        <w:rPr>
          <w:rFonts w:hint="eastAsia" w:ascii="仿宋" w:hAnsi="仿宋" w:eastAsia="仿宋"/>
          <w:sz w:val="32"/>
        </w:rPr>
        <w:t>（一）中标单位与南通市大数据发展集团有限公司签订合同与运营协议。</w:t>
      </w:r>
    </w:p>
    <w:p>
      <w:pPr>
        <w:spacing w:line="360" w:lineRule="auto"/>
        <w:ind w:firstLine="566" w:firstLineChars="177"/>
        <w:rPr>
          <w:rFonts w:ascii="仿宋" w:hAnsi="仿宋" w:eastAsia="仿宋"/>
          <w:sz w:val="32"/>
          <w:szCs w:val="32"/>
        </w:rPr>
      </w:pPr>
      <w:r>
        <w:rPr>
          <w:rFonts w:hint="eastAsia" w:ascii="仿宋" w:hAnsi="仿宋" w:eastAsia="仿宋"/>
          <w:sz w:val="32"/>
          <w:szCs w:val="32"/>
        </w:rPr>
        <w:t>（二）运营期两年，运营期结束后进行工作总结，若双方无异议则自动顺延。</w:t>
      </w:r>
    </w:p>
    <w:p>
      <w:pPr>
        <w:spacing w:line="360" w:lineRule="auto"/>
        <w:ind w:firstLine="566" w:firstLineChars="177"/>
        <w:rPr>
          <w:rFonts w:ascii="黑体" w:hAnsi="黑体" w:eastAsia="黑体"/>
          <w:sz w:val="32"/>
          <w:szCs w:val="32"/>
        </w:rPr>
      </w:pPr>
      <w:r>
        <w:rPr>
          <w:rFonts w:hint="eastAsia" w:ascii="黑体" w:hAnsi="黑体" w:eastAsia="黑体"/>
          <w:sz w:val="32"/>
          <w:szCs w:val="32"/>
        </w:rPr>
        <w:t>四、供应商资质</w:t>
      </w:r>
    </w:p>
    <w:p>
      <w:pPr>
        <w:spacing w:line="360" w:lineRule="auto"/>
        <w:ind w:firstLine="566" w:firstLineChars="177"/>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具有独立法人资格，</w:t>
      </w:r>
      <w:r>
        <w:rPr>
          <w:rFonts w:ascii="仿宋" w:hAnsi="仿宋" w:eastAsia="仿宋"/>
          <w:sz w:val="32"/>
          <w:szCs w:val="32"/>
        </w:rPr>
        <w:t>具有独立订立合同和履行合同的能力；</w:t>
      </w:r>
    </w:p>
    <w:p>
      <w:pPr>
        <w:spacing w:line="360" w:lineRule="auto"/>
        <w:ind w:firstLine="566" w:firstLineChars="177"/>
        <w:rPr>
          <w:rFonts w:ascii="仿宋" w:hAnsi="仿宋" w:eastAsia="仿宋"/>
          <w:sz w:val="32"/>
          <w:szCs w:val="32"/>
        </w:rPr>
      </w:pPr>
      <w:r>
        <w:rPr>
          <w:rFonts w:ascii="仿宋" w:hAnsi="仿宋" w:eastAsia="仿宋"/>
          <w:sz w:val="32"/>
          <w:szCs w:val="32"/>
        </w:rPr>
        <w:t>2、未处于被责令停业、投标资格被取消或者财产被接管、冻结和破产状态；</w:t>
      </w:r>
    </w:p>
    <w:p>
      <w:pPr>
        <w:spacing w:line="360" w:lineRule="auto"/>
        <w:ind w:firstLine="566" w:firstLineChars="177"/>
        <w:rPr>
          <w:rFonts w:ascii="仿宋" w:hAnsi="仿宋" w:eastAsia="仿宋"/>
          <w:sz w:val="32"/>
          <w:szCs w:val="32"/>
        </w:rPr>
      </w:pPr>
      <w:r>
        <w:rPr>
          <w:rFonts w:ascii="仿宋" w:hAnsi="仿宋" w:eastAsia="仿宋"/>
          <w:sz w:val="32"/>
          <w:szCs w:val="32"/>
        </w:rPr>
        <w:t>3、资格证明文件中的重要内容没有失实或者弄虚作假；</w:t>
      </w:r>
    </w:p>
    <w:p>
      <w:pPr>
        <w:spacing w:line="360" w:lineRule="auto"/>
        <w:ind w:firstLine="566" w:firstLineChars="177"/>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注册资金在100万元人民币以上。</w:t>
      </w:r>
    </w:p>
    <w:p>
      <w:pPr>
        <w:spacing w:line="360" w:lineRule="auto"/>
        <w:ind w:firstLine="566" w:firstLineChars="177"/>
        <w:rPr>
          <w:rFonts w:ascii="黑体" w:hAnsi="黑体" w:eastAsia="黑体"/>
          <w:sz w:val="32"/>
          <w:szCs w:val="32"/>
        </w:rPr>
      </w:pPr>
      <w:r>
        <w:rPr>
          <w:rFonts w:hint="eastAsia" w:ascii="黑体" w:hAnsi="黑体" w:eastAsia="黑体"/>
          <w:sz w:val="32"/>
          <w:szCs w:val="32"/>
        </w:rPr>
        <w:t>五、提交的材料</w:t>
      </w:r>
    </w:p>
    <w:p>
      <w:pPr>
        <w:spacing w:line="360" w:lineRule="auto"/>
        <w:ind w:firstLine="566" w:firstLineChars="177"/>
        <w:rPr>
          <w:rFonts w:ascii="仿宋" w:hAnsi="仿宋" w:eastAsia="仿宋"/>
          <w:sz w:val="32"/>
          <w:szCs w:val="32"/>
        </w:rPr>
      </w:pPr>
      <w:r>
        <w:rPr>
          <w:rFonts w:hint="eastAsia" w:ascii="仿宋" w:hAnsi="仿宋" w:eastAsia="仿宋"/>
          <w:sz w:val="32"/>
          <w:szCs w:val="32"/>
        </w:rPr>
        <w:t>1、本项目投标书一正四副，以A4纸张打印，禁止豪华装订；</w:t>
      </w:r>
    </w:p>
    <w:p>
      <w:pPr>
        <w:spacing w:line="360" w:lineRule="auto"/>
        <w:ind w:firstLine="566" w:firstLineChars="177"/>
        <w:rPr>
          <w:rFonts w:ascii="仿宋" w:hAnsi="仿宋" w:eastAsia="仿宋"/>
          <w:sz w:val="32"/>
          <w:szCs w:val="32"/>
        </w:rPr>
      </w:pPr>
      <w:r>
        <w:rPr>
          <w:rFonts w:ascii="仿宋" w:hAnsi="仿宋" w:eastAsia="仿宋"/>
          <w:sz w:val="32"/>
          <w:szCs w:val="32"/>
        </w:rPr>
        <w:t>2、投标人介绍信或法定代表人授权委托书；</w:t>
      </w:r>
    </w:p>
    <w:p>
      <w:pPr>
        <w:spacing w:line="360" w:lineRule="auto"/>
        <w:ind w:firstLine="566" w:firstLineChars="177"/>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企业营业执照副本等复印件，原件备查；</w:t>
      </w:r>
    </w:p>
    <w:p>
      <w:pPr>
        <w:spacing w:line="360" w:lineRule="auto"/>
        <w:ind w:firstLine="566" w:firstLineChars="177"/>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其他相关证明材料，如案例等，需要提供加盖投标人公章的证明材料复印件，原件备查。</w:t>
      </w: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ind w:firstLine="566" w:firstLineChars="177"/>
        <w:rPr>
          <w:rFonts w:ascii="黑体" w:hAnsi="黑体" w:eastAsia="黑体"/>
          <w:sz w:val="32"/>
          <w:szCs w:val="32"/>
        </w:rPr>
      </w:pPr>
      <w:r>
        <w:rPr>
          <w:rFonts w:hint="eastAsia" w:ascii="黑体" w:hAnsi="黑体" w:eastAsia="黑体"/>
          <w:sz w:val="32"/>
          <w:szCs w:val="32"/>
        </w:rPr>
        <w:t>六、评分表</w:t>
      </w:r>
    </w:p>
    <w:p>
      <w:pPr>
        <w:tabs>
          <w:tab w:val="left" w:pos="5325"/>
        </w:tabs>
        <w:snapToGrid w:val="0"/>
        <w:spacing w:before="120" w:after="156" w:afterLines="50"/>
        <w:ind w:firstLine="640" w:firstLineChars="200"/>
        <w:contextualSpacing/>
        <w:outlineLvl w:val="0"/>
        <w:rPr>
          <w:rFonts w:ascii="仿宋" w:hAnsi="仿宋" w:eastAsia="仿宋"/>
          <w:sz w:val="32"/>
          <w:szCs w:val="32"/>
        </w:rPr>
      </w:pPr>
      <w:bookmarkStart w:id="0" w:name="_Toc29478092"/>
      <w:r>
        <w:rPr>
          <w:rFonts w:hint="eastAsia" w:ascii="仿宋" w:hAnsi="仿宋" w:eastAsia="仿宋"/>
          <w:sz w:val="32"/>
          <w:szCs w:val="32"/>
        </w:rPr>
        <w:t>本次评标时，先由专家组对方案进行评分，再开价格标，最后算出总分。</w:t>
      </w:r>
      <w:bookmarkEnd w:id="0"/>
    </w:p>
    <w:tbl>
      <w:tblPr>
        <w:tblStyle w:val="11"/>
        <w:tblW w:w="948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5"/>
        <w:gridCol w:w="1353"/>
        <w:gridCol w:w="6742"/>
        <w:gridCol w:w="71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0" w:hRule="atLeast"/>
        </w:trPr>
        <w:tc>
          <w:tcPr>
            <w:tcW w:w="675" w:type="dxa"/>
            <w:vAlign w:val="center"/>
          </w:tcPr>
          <w:p>
            <w:pPr>
              <w:widowControl/>
              <w:adjustRightInd w:val="0"/>
              <w:snapToGrid w:val="0"/>
              <w:spacing w:before="120" w:line="380" w:lineRule="exact"/>
              <w:rPr>
                <w:rFonts w:ascii="仿宋_GB2312" w:hAnsi="宋体" w:eastAsia="仿宋_GB2312" w:cs="宋体"/>
                <w:b/>
                <w:kern w:val="0"/>
                <w:sz w:val="24"/>
              </w:rPr>
            </w:pPr>
            <w:r>
              <w:rPr>
                <w:rFonts w:hint="eastAsia" w:ascii="仿宋_GB2312" w:hAnsi="宋体" w:eastAsia="仿宋_GB2312" w:cs="宋体"/>
                <w:b/>
                <w:kern w:val="0"/>
                <w:sz w:val="24"/>
              </w:rPr>
              <w:t>序号</w:t>
            </w:r>
          </w:p>
        </w:tc>
        <w:tc>
          <w:tcPr>
            <w:tcW w:w="1353"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评审因素</w:t>
            </w:r>
          </w:p>
        </w:tc>
        <w:tc>
          <w:tcPr>
            <w:tcW w:w="6742"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评审标准</w:t>
            </w:r>
          </w:p>
        </w:tc>
        <w:tc>
          <w:tcPr>
            <w:tcW w:w="710"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64" w:hRule="atLeast"/>
        </w:trPr>
        <w:tc>
          <w:tcPr>
            <w:tcW w:w="675"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1</w:t>
            </w:r>
          </w:p>
        </w:tc>
        <w:tc>
          <w:tcPr>
            <w:tcW w:w="1353" w:type="dxa"/>
            <w:vAlign w:val="center"/>
          </w:tcPr>
          <w:p>
            <w:pPr>
              <w:adjustRightInd w:val="0"/>
              <w:snapToGrid w:val="0"/>
              <w:spacing w:before="120" w:line="380" w:lineRule="exact"/>
              <w:jc w:val="center"/>
              <w:rPr>
                <w:rFonts w:ascii="仿宋_GB2312" w:hAnsi="宋体" w:eastAsia="仿宋_GB2312" w:cs="宋体"/>
                <w:b/>
                <w:bCs/>
                <w:kern w:val="0"/>
                <w:sz w:val="24"/>
              </w:rPr>
            </w:pPr>
            <w:r>
              <w:rPr>
                <w:rFonts w:hint="eastAsia" w:ascii="仿宋_GB2312" w:hAnsi="宋体" w:eastAsia="仿宋_GB2312" w:cs="宋体"/>
                <w:b/>
                <w:bCs/>
                <w:kern w:val="0"/>
                <w:sz w:val="24"/>
              </w:rPr>
              <w:t>价格</w:t>
            </w:r>
          </w:p>
          <w:p>
            <w:pPr>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bCs/>
                <w:kern w:val="0"/>
                <w:sz w:val="24"/>
              </w:rPr>
              <w:t>（</w:t>
            </w:r>
            <w:r>
              <w:rPr>
                <w:rFonts w:ascii="仿宋_GB2312" w:hAnsi="宋体" w:eastAsia="仿宋_GB2312" w:cs="宋体"/>
                <w:b/>
                <w:bCs/>
                <w:kern w:val="0"/>
                <w:sz w:val="24"/>
              </w:rPr>
              <w:t>20</w:t>
            </w:r>
            <w:r>
              <w:rPr>
                <w:rFonts w:hint="eastAsia" w:ascii="仿宋_GB2312" w:hAnsi="宋体" w:eastAsia="仿宋_GB2312" w:cs="宋体"/>
                <w:b/>
                <w:bCs/>
                <w:kern w:val="0"/>
                <w:sz w:val="24"/>
              </w:rPr>
              <w:t>分）</w:t>
            </w:r>
          </w:p>
        </w:tc>
        <w:tc>
          <w:tcPr>
            <w:tcW w:w="6742" w:type="dxa"/>
            <w:vAlign w:val="center"/>
          </w:tcPr>
          <w:p>
            <w:pPr>
              <w:widowControl/>
              <w:adjustRightInd w:val="0"/>
              <w:snapToGrid w:val="0"/>
              <w:spacing w:before="120"/>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投标总价不超过</w:t>
            </w:r>
            <w:r>
              <w:rPr>
                <w:rFonts w:hint="eastAsia" w:ascii="仿宋_GB2312" w:hAnsi="宋体" w:eastAsia="仿宋_GB2312" w:cs="宋体"/>
                <w:color w:val="000000" w:themeColor="text1"/>
                <w:kern w:val="0"/>
                <w:sz w:val="24"/>
                <w:lang w:val="en-US" w:eastAsia="zh-CN"/>
              </w:rPr>
              <w:t>5</w:t>
            </w:r>
            <w:r>
              <w:rPr>
                <w:rFonts w:hint="eastAsia" w:ascii="仿宋_GB2312" w:hAnsi="宋体" w:eastAsia="仿宋_GB2312" w:cs="宋体"/>
                <w:color w:val="000000" w:themeColor="text1"/>
                <w:kern w:val="0"/>
                <w:sz w:val="24"/>
              </w:rPr>
              <w:t>万/年。</w:t>
            </w:r>
          </w:p>
          <w:p>
            <w:pPr>
              <w:widowControl/>
              <w:adjustRightInd w:val="0"/>
              <w:snapToGrid w:val="0"/>
              <w:spacing w:before="120"/>
              <w:rPr>
                <w:rFonts w:ascii="仿宋_GB2312" w:hAnsi="宋体" w:eastAsia="仿宋_GB2312"/>
                <w:bCs/>
                <w:color w:val="000000" w:themeColor="text1"/>
                <w:sz w:val="24"/>
              </w:rPr>
            </w:pPr>
            <w:r>
              <w:rPr>
                <w:rFonts w:hint="eastAsia" w:ascii="仿宋_GB2312" w:hAnsi="宋体" w:eastAsia="仿宋_GB2312" w:cs="宋体"/>
                <w:color w:val="000000" w:themeColor="text1"/>
                <w:kern w:val="0"/>
                <w:sz w:val="24"/>
              </w:rPr>
              <w:t>采用低价优先法计算，即满足招标文件要求且投标价格最低的投标报价为评标基准价，其价格分为满分。其他投标人的价格分按照下列公式计算（小数点保留一位）。投标报价得分=(评标基准价／投标报价)×</w:t>
            </w:r>
            <w:r>
              <w:rPr>
                <w:rFonts w:ascii="仿宋_GB2312" w:hAnsi="宋体" w:eastAsia="仿宋_GB2312" w:cs="宋体"/>
                <w:color w:val="000000" w:themeColor="text1"/>
                <w:kern w:val="0"/>
                <w:sz w:val="24"/>
              </w:rPr>
              <w:t>20</w:t>
            </w:r>
          </w:p>
        </w:tc>
        <w:tc>
          <w:tcPr>
            <w:tcW w:w="710" w:type="dxa"/>
            <w:vAlign w:val="center"/>
          </w:tcPr>
          <w:p>
            <w:pPr>
              <w:widowControl/>
              <w:spacing w:before="120" w:line="380" w:lineRule="exact"/>
              <w:ind w:right="105"/>
              <w:jc w:val="center"/>
              <w:rPr>
                <w:rFonts w:ascii="仿宋_GB2312" w:hAnsi="宋体" w:eastAsia="仿宋_GB2312" w:cs="宋体"/>
                <w:kern w:val="0"/>
                <w:sz w:val="24"/>
              </w:rPr>
            </w:pPr>
            <w:r>
              <w:rPr>
                <w:rFonts w:ascii="仿宋_GB2312" w:hAnsi="宋体" w:eastAsia="仿宋_GB2312" w:cs="宋体"/>
                <w:kern w:val="0"/>
                <w:sz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84" w:hRule="atLeast"/>
        </w:trPr>
        <w:tc>
          <w:tcPr>
            <w:tcW w:w="675"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2.1</w:t>
            </w:r>
          </w:p>
        </w:tc>
        <w:tc>
          <w:tcPr>
            <w:tcW w:w="1353" w:type="dxa"/>
            <w:vMerge w:val="restart"/>
            <w:vAlign w:val="center"/>
          </w:tcPr>
          <w:p>
            <w:pPr>
              <w:adjustRightInd w:val="0"/>
              <w:snapToGrid w:val="0"/>
              <w:spacing w:before="120" w:line="380" w:lineRule="exact"/>
              <w:jc w:val="center"/>
              <w:rPr>
                <w:rFonts w:ascii="仿宋_GB2312" w:hAnsi="宋体" w:eastAsia="仿宋_GB2312"/>
                <w:b/>
                <w:sz w:val="24"/>
              </w:rPr>
            </w:pPr>
            <w:r>
              <w:rPr>
                <w:rFonts w:hint="eastAsia" w:ascii="仿宋_GB2312" w:hAnsi="宋体" w:eastAsia="仿宋_GB2312"/>
                <w:b/>
                <w:sz w:val="24"/>
              </w:rPr>
              <w:t>技术</w:t>
            </w:r>
          </w:p>
          <w:p>
            <w:pPr>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b/>
                <w:sz w:val="24"/>
              </w:rPr>
              <w:t>（70分）</w:t>
            </w:r>
          </w:p>
        </w:tc>
        <w:tc>
          <w:tcPr>
            <w:tcW w:w="6742" w:type="dxa"/>
            <w:vAlign w:val="center"/>
          </w:tcPr>
          <w:p>
            <w:pPr>
              <w:pStyle w:val="3"/>
              <w:adjustRightInd w:val="0"/>
              <w:snapToGrid w:val="0"/>
              <w:spacing w:before="156"/>
              <w:ind w:firstLine="0" w:firstLineChars="0"/>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需求理解与整体设计：投标人提交的方案对本项目背景、用户现状、建设目标、建设需求及必要性的理解是否深入，整体设计是否符合南通市大数据发展集团有限公司对APP运营及发展的要求，由专家综合分析比较后评分，最优得</w:t>
            </w:r>
            <w:r>
              <w:rPr>
                <w:rFonts w:ascii="仿宋_GB2312" w:hAnsi="宋体" w:eastAsia="仿宋_GB2312" w:cs="宋体"/>
                <w:color w:val="000000" w:themeColor="text1"/>
                <w:kern w:val="0"/>
                <w:sz w:val="24"/>
              </w:rPr>
              <w:t>15</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20</w:t>
            </w:r>
            <w:r>
              <w:rPr>
                <w:rFonts w:hint="eastAsia" w:ascii="仿宋_GB2312" w:hAnsi="宋体" w:eastAsia="仿宋_GB2312" w:cs="宋体"/>
                <w:color w:val="000000" w:themeColor="text1"/>
                <w:kern w:val="0"/>
                <w:sz w:val="24"/>
              </w:rPr>
              <w:t>分，较好得</w:t>
            </w:r>
            <w:r>
              <w:rPr>
                <w:rFonts w:ascii="仿宋_GB2312" w:hAnsi="宋体" w:eastAsia="仿宋_GB2312" w:cs="宋体"/>
                <w:color w:val="000000" w:themeColor="text1"/>
                <w:kern w:val="0"/>
                <w:sz w:val="24"/>
              </w:rPr>
              <w:t>10</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15</w:t>
            </w:r>
            <w:r>
              <w:rPr>
                <w:rFonts w:hint="eastAsia" w:ascii="仿宋_GB2312" w:hAnsi="宋体" w:eastAsia="仿宋_GB2312" w:cs="宋体"/>
                <w:color w:val="000000" w:themeColor="text1"/>
                <w:kern w:val="0"/>
                <w:sz w:val="24"/>
              </w:rPr>
              <w:t>分，其余酌情给分。</w:t>
            </w:r>
          </w:p>
        </w:tc>
        <w:tc>
          <w:tcPr>
            <w:tcW w:w="710" w:type="dxa"/>
            <w:vAlign w:val="center"/>
          </w:tcPr>
          <w:p>
            <w:pPr>
              <w:widowControl/>
              <w:spacing w:before="120" w:line="380" w:lineRule="exact"/>
              <w:ind w:right="105"/>
              <w:jc w:val="center"/>
              <w:rPr>
                <w:rFonts w:ascii="仿宋_GB2312" w:hAnsi="宋体" w:eastAsia="仿宋_GB2312" w:cs="宋体"/>
                <w:kern w:val="0"/>
                <w:sz w:val="24"/>
              </w:rPr>
            </w:pPr>
            <w:r>
              <w:rPr>
                <w:rFonts w:hint="eastAsia" w:ascii="仿宋_GB2312" w:hAnsi="宋体" w:eastAsia="仿宋_GB2312" w:cs="宋体"/>
                <w:kern w:val="0"/>
                <w:sz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3" w:hRule="atLeast"/>
        </w:trPr>
        <w:tc>
          <w:tcPr>
            <w:tcW w:w="675" w:type="dxa"/>
            <w:tcBorders>
              <w:top w:val="single" w:color="auto" w:sz="4" w:space="0"/>
            </w:tcBorders>
            <w:vAlign w:val="center"/>
          </w:tcPr>
          <w:p>
            <w:pPr>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2.</w:t>
            </w:r>
            <w:r>
              <w:rPr>
                <w:rFonts w:ascii="仿宋_GB2312" w:hAnsi="宋体" w:eastAsia="仿宋_GB2312" w:cs="宋体"/>
                <w:b/>
                <w:kern w:val="0"/>
                <w:sz w:val="24"/>
              </w:rPr>
              <w:t>2</w:t>
            </w:r>
          </w:p>
        </w:tc>
        <w:tc>
          <w:tcPr>
            <w:tcW w:w="1353" w:type="dxa"/>
            <w:vMerge w:val="continue"/>
            <w:vAlign w:val="center"/>
          </w:tcPr>
          <w:p>
            <w:pPr>
              <w:widowControl/>
              <w:adjustRightInd w:val="0"/>
              <w:snapToGrid w:val="0"/>
              <w:spacing w:before="120" w:line="380" w:lineRule="exact"/>
              <w:jc w:val="left"/>
              <w:rPr>
                <w:rFonts w:ascii="仿宋_GB2312" w:hAnsi="宋体" w:eastAsia="仿宋_GB2312" w:cs="宋体"/>
                <w:b/>
                <w:kern w:val="0"/>
                <w:sz w:val="24"/>
              </w:rPr>
            </w:pPr>
          </w:p>
        </w:tc>
        <w:tc>
          <w:tcPr>
            <w:tcW w:w="6742" w:type="dxa"/>
            <w:tcBorders>
              <w:top w:val="single" w:color="auto" w:sz="4" w:space="0"/>
            </w:tcBorders>
            <w:vAlign w:val="center"/>
          </w:tcPr>
          <w:p>
            <w:pPr>
              <w:pStyle w:val="3"/>
              <w:adjustRightInd w:val="0"/>
              <w:snapToGrid w:val="0"/>
              <w:spacing w:before="156"/>
              <w:ind w:firstLine="0" w:firstLineChars="0"/>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对卫生标准规范的理解：本次招标运营维护的系统是基于市全民健康信息平台而建设，因此供应商必须对卫生标准规范有充分的理解。投标人应对如何贯彻卫生部组织的医疗卫生行业信息化标准、规范、指南等提供详细的方案，由专家综合分析比较后评分，最优得</w:t>
            </w:r>
            <w:r>
              <w:rPr>
                <w:rFonts w:ascii="仿宋_GB2312" w:hAnsi="宋体" w:eastAsia="仿宋_GB2312" w:cs="宋体"/>
                <w:color w:val="000000" w:themeColor="text1"/>
                <w:kern w:val="0"/>
                <w:sz w:val="24"/>
              </w:rPr>
              <w:t>15</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20</w:t>
            </w:r>
            <w:r>
              <w:rPr>
                <w:rFonts w:hint="eastAsia" w:ascii="仿宋_GB2312" w:hAnsi="宋体" w:eastAsia="仿宋_GB2312" w:cs="宋体"/>
                <w:color w:val="000000" w:themeColor="text1"/>
                <w:kern w:val="0"/>
                <w:sz w:val="24"/>
              </w:rPr>
              <w:t>分，较好得</w:t>
            </w:r>
            <w:r>
              <w:rPr>
                <w:rFonts w:ascii="仿宋_GB2312" w:hAnsi="宋体" w:eastAsia="仿宋_GB2312" w:cs="宋体"/>
                <w:color w:val="000000" w:themeColor="text1"/>
                <w:kern w:val="0"/>
                <w:sz w:val="24"/>
              </w:rPr>
              <w:t>10</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15</w:t>
            </w:r>
            <w:r>
              <w:rPr>
                <w:rFonts w:hint="eastAsia" w:ascii="仿宋_GB2312" w:hAnsi="宋体" w:eastAsia="仿宋_GB2312" w:cs="宋体"/>
                <w:color w:val="000000" w:themeColor="text1"/>
                <w:kern w:val="0"/>
                <w:sz w:val="24"/>
              </w:rPr>
              <w:t>分，其余酌情给分。</w:t>
            </w:r>
          </w:p>
        </w:tc>
        <w:tc>
          <w:tcPr>
            <w:tcW w:w="710" w:type="dxa"/>
            <w:tcBorders>
              <w:top w:val="single" w:color="auto" w:sz="4" w:space="0"/>
            </w:tcBorders>
            <w:vAlign w:val="center"/>
          </w:tcPr>
          <w:p>
            <w:pPr>
              <w:spacing w:before="120" w:line="380" w:lineRule="exact"/>
              <w:ind w:right="105"/>
              <w:jc w:val="center"/>
              <w:rPr>
                <w:rFonts w:ascii="仿宋_GB2312" w:hAnsi="宋体" w:eastAsia="仿宋_GB2312" w:cs="宋体"/>
                <w:kern w:val="0"/>
                <w:sz w:val="24"/>
              </w:rPr>
            </w:pPr>
            <w:r>
              <w:rPr>
                <w:rFonts w:ascii="仿宋_GB2312" w:hAnsi="宋体" w:eastAsia="仿宋_GB2312" w:cs="宋体"/>
                <w:kern w:val="0"/>
                <w:sz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2" w:hRule="atLeast"/>
        </w:trPr>
        <w:tc>
          <w:tcPr>
            <w:tcW w:w="675" w:type="dxa"/>
            <w:vAlign w:val="center"/>
          </w:tcPr>
          <w:p>
            <w:pPr>
              <w:widowControl/>
              <w:adjustRightInd w:val="0"/>
              <w:snapToGrid w:val="0"/>
              <w:spacing w:before="120" w:line="380" w:lineRule="exact"/>
              <w:jc w:val="center"/>
              <w:rPr>
                <w:rFonts w:ascii="仿宋_GB2312" w:hAnsi="宋体" w:eastAsia="仿宋_GB2312" w:cs="宋体"/>
                <w:b/>
                <w:kern w:val="0"/>
                <w:sz w:val="24"/>
              </w:rPr>
            </w:pPr>
            <w:r>
              <w:rPr>
                <w:rFonts w:hint="eastAsia" w:ascii="仿宋_GB2312" w:hAnsi="宋体" w:eastAsia="仿宋_GB2312" w:cs="宋体"/>
                <w:b/>
                <w:kern w:val="0"/>
                <w:sz w:val="24"/>
              </w:rPr>
              <w:t>2.</w:t>
            </w:r>
            <w:r>
              <w:rPr>
                <w:rFonts w:ascii="仿宋_GB2312" w:hAnsi="宋体" w:eastAsia="仿宋_GB2312" w:cs="宋体"/>
                <w:b/>
                <w:kern w:val="0"/>
                <w:sz w:val="24"/>
              </w:rPr>
              <w:t>3</w:t>
            </w:r>
          </w:p>
        </w:tc>
        <w:tc>
          <w:tcPr>
            <w:tcW w:w="1353" w:type="dxa"/>
            <w:vMerge w:val="continue"/>
            <w:vAlign w:val="center"/>
          </w:tcPr>
          <w:p>
            <w:pPr>
              <w:widowControl/>
              <w:adjustRightInd w:val="0"/>
              <w:snapToGrid w:val="0"/>
              <w:spacing w:before="120" w:line="380" w:lineRule="exact"/>
              <w:jc w:val="left"/>
              <w:rPr>
                <w:rFonts w:ascii="仿宋_GB2312" w:hAnsi="宋体" w:eastAsia="仿宋_GB2312" w:cs="宋体"/>
                <w:b/>
                <w:kern w:val="0"/>
                <w:sz w:val="24"/>
              </w:rPr>
            </w:pPr>
          </w:p>
        </w:tc>
        <w:tc>
          <w:tcPr>
            <w:tcW w:w="6742" w:type="dxa"/>
            <w:vAlign w:val="center"/>
          </w:tcPr>
          <w:p>
            <w:pPr>
              <w:pStyle w:val="3"/>
              <w:adjustRightInd w:val="0"/>
              <w:snapToGrid w:val="0"/>
              <w:spacing w:before="156"/>
              <w:ind w:firstLine="0" w:firstLineChars="0"/>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项目运维方案：投标人能够针对招标要求从运营事前准备、事中项目管理和质控、事后验收与维护提出合理、详细、流程清晰的完整的运维方案。由专家综合分析比较后评分，最优得</w:t>
            </w:r>
            <w:r>
              <w:rPr>
                <w:rFonts w:ascii="仿宋_GB2312" w:hAnsi="宋体" w:eastAsia="仿宋_GB2312" w:cs="宋体"/>
                <w:color w:val="000000" w:themeColor="text1"/>
                <w:kern w:val="0"/>
                <w:sz w:val="24"/>
              </w:rPr>
              <w:t>20</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30</w:t>
            </w:r>
            <w:r>
              <w:rPr>
                <w:rFonts w:hint="eastAsia" w:ascii="仿宋_GB2312" w:hAnsi="宋体" w:eastAsia="仿宋_GB2312" w:cs="宋体"/>
                <w:color w:val="000000" w:themeColor="text1"/>
                <w:kern w:val="0"/>
                <w:sz w:val="24"/>
              </w:rPr>
              <w:t>分，较好得</w:t>
            </w:r>
            <w:r>
              <w:rPr>
                <w:rFonts w:ascii="仿宋_GB2312" w:hAnsi="宋体" w:eastAsia="仿宋_GB2312" w:cs="宋体"/>
                <w:color w:val="000000" w:themeColor="text1"/>
                <w:kern w:val="0"/>
                <w:sz w:val="24"/>
              </w:rPr>
              <w:t>15</w:t>
            </w:r>
            <w:r>
              <w:rPr>
                <w:rFonts w:hint="eastAsia" w:ascii="仿宋_GB2312" w:hAnsi="宋体" w:eastAsia="仿宋_GB2312" w:cs="宋体"/>
                <w:color w:val="000000" w:themeColor="text1"/>
                <w:kern w:val="0"/>
                <w:sz w:val="24"/>
              </w:rPr>
              <w:t>-</w:t>
            </w:r>
            <w:r>
              <w:rPr>
                <w:rFonts w:ascii="仿宋_GB2312" w:hAnsi="宋体" w:eastAsia="仿宋_GB2312" w:cs="宋体"/>
                <w:color w:val="000000" w:themeColor="text1"/>
                <w:kern w:val="0"/>
                <w:sz w:val="24"/>
              </w:rPr>
              <w:t>20</w:t>
            </w:r>
            <w:r>
              <w:rPr>
                <w:rFonts w:hint="eastAsia" w:ascii="仿宋_GB2312" w:hAnsi="宋体" w:eastAsia="仿宋_GB2312" w:cs="宋体"/>
                <w:color w:val="000000" w:themeColor="text1"/>
                <w:kern w:val="0"/>
                <w:sz w:val="24"/>
              </w:rPr>
              <w:t>分，其余酌情给分。</w:t>
            </w:r>
          </w:p>
        </w:tc>
        <w:tc>
          <w:tcPr>
            <w:tcW w:w="710" w:type="dxa"/>
            <w:vAlign w:val="center"/>
          </w:tcPr>
          <w:p>
            <w:pPr>
              <w:widowControl/>
              <w:spacing w:before="120" w:line="380" w:lineRule="exact"/>
              <w:ind w:right="105"/>
              <w:jc w:val="center"/>
              <w:rPr>
                <w:rFonts w:ascii="仿宋_GB2312" w:hAnsi="宋体" w:eastAsia="仿宋_GB2312" w:cs="宋体"/>
                <w:kern w:val="0"/>
                <w:sz w:val="24"/>
              </w:rPr>
            </w:pPr>
            <w:r>
              <w:rPr>
                <w:rFonts w:ascii="仿宋_GB2312" w:hAnsi="宋体" w:eastAsia="仿宋_GB2312" w:cs="宋体"/>
                <w:kern w:val="0"/>
                <w:sz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69" w:hRule="atLeast"/>
        </w:trPr>
        <w:tc>
          <w:tcPr>
            <w:tcW w:w="675" w:type="dxa"/>
            <w:vAlign w:val="center"/>
          </w:tcPr>
          <w:p>
            <w:pPr>
              <w:adjustRightInd w:val="0"/>
              <w:snapToGrid w:val="0"/>
              <w:spacing w:before="120" w:line="380" w:lineRule="exact"/>
              <w:jc w:val="center"/>
              <w:rPr>
                <w:rFonts w:ascii="仿宋_GB2312" w:hAnsi="宋体" w:eastAsia="仿宋_GB2312"/>
                <w:b/>
                <w:sz w:val="24"/>
              </w:rPr>
            </w:pPr>
            <w:r>
              <w:rPr>
                <w:rFonts w:ascii="仿宋_GB2312" w:hAnsi="宋体" w:eastAsia="仿宋_GB2312"/>
                <w:b/>
                <w:sz w:val="24"/>
              </w:rPr>
              <w:t>3</w:t>
            </w:r>
            <w:r>
              <w:rPr>
                <w:rFonts w:hint="eastAsia" w:ascii="仿宋_GB2312" w:hAnsi="宋体" w:eastAsia="仿宋_GB2312"/>
                <w:b/>
                <w:sz w:val="24"/>
              </w:rPr>
              <w:t>.1</w:t>
            </w:r>
          </w:p>
        </w:tc>
        <w:tc>
          <w:tcPr>
            <w:tcW w:w="1353" w:type="dxa"/>
            <w:vAlign w:val="center"/>
          </w:tcPr>
          <w:p>
            <w:pPr>
              <w:adjustRightInd w:val="0"/>
              <w:snapToGrid w:val="0"/>
              <w:spacing w:before="120" w:line="380" w:lineRule="exact"/>
              <w:jc w:val="center"/>
              <w:rPr>
                <w:rFonts w:ascii="仿宋_GB2312" w:hAnsi="宋体" w:eastAsia="仿宋_GB2312"/>
                <w:b/>
                <w:sz w:val="24"/>
              </w:rPr>
            </w:pPr>
            <w:r>
              <w:rPr>
                <w:rFonts w:hint="eastAsia" w:ascii="仿宋_GB2312" w:hAnsi="宋体" w:eastAsia="仿宋_GB2312"/>
                <w:b/>
                <w:sz w:val="24"/>
              </w:rPr>
              <w:t>信誉及资质</w:t>
            </w:r>
          </w:p>
          <w:p>
            <w:pPr>
              <w:adjustRightInd w:val="0"/>
              <w:snapToGrid w:val="0"/>
              <w:spacing w:before="120" w:line="380" w:lineRule="exact"/>
              <w:jc w:val="center"/>
              <w:rPr>
                <w:rFonts w:ascii="仿宋_GB2312" w:hAnsi="宋体" w:eastAsia="仿宋_GB2312"/>
                <w:b/>
                <w:sz w:val="24"/>
              </w:rPr>
            </w:pPr>
            <w:r>
              <w:rPr>
                <w:rFonts w:hint="eastAsia" w:ascii="仿宋_GB2312" w:hAnsi="宋体" w:eastAsia="仿宋_GB2312"/>
                <w:b/>
                <w:sz w:val="24"/>
              </w:rPr>
              <w:t>（1</w:t>
            </w:r>
            <w:r>
              <w:rPr>
                <w:rFonts w:ascii="仿宋_GB2312" w:hAnsi="宋体" w:eastAsia="仿宋_GB2312"/>
                <w:b/>
                <w:sz w:val="24"/>
              </w:rPr>
              <w:t>0</w:t>
            </w:r>
            <w:r>
              <w:rPr>
                <w:rFonts w:hint="eastAsia" w:ascii="仿宋_GB2312" w:hAnsi="宋体" w:eastAsia="仿宋_GB2312"/>
                <w:b/>
                <w:sz w:val="24"/>
              </w:rPr>
              <w:t>分）</w:t>
            </w:r>
          </w:p>
        </w:tc>
        <w:tc>
          <w:tcPr>
            <w:tcW w:w="6742" w:type="dxa"/>
            <w:vAlign w:val="center"/>
          </w:tcPr>
          <w:p>
            <w:pPr>
              <w:widowControl/>
              <w:spacing w:before="120"/>
              <w:jc w:val="left"/>
              <w:rPr>
                <w:rFonts w:ascii="仿宋_GB2312" w:hAnsi="宋体" w:eastAsia="仿宋_GB2312" w:cs="宋体"/>
                <w:kern w:val="0"/>
                <w:sz w:val="24"/>
              </w:rPr>
            </w:pPr>
            <w:r>
              <w:rPr>
                <w:rFonts w:hint="eastAsia" w:ascii="仿宋_GB2312" w:hAnsi="宋体" w:eastAsia="仿宋_GB2312" w:cs="宋体"/>
                <w:kern w:val="0"/>
                <w:sz w:val="24"/>
              </w:rPr>
              <w:t>公司资质：投标人必须在本地有正常经营的公司实体，得4分；</w:t>
            </w:r>
          </w:p>
          <w:p>
            <w:pPr>
              <w:widowControl/>
              <w:spacing w:before="120"/>
              <w:jc w:val="left"/>
              <w:rPr>
                <w:rFonts w:ascii="仿宋_GB2312" w:hAnsi="宋体" w:eastAsia="仿宋_GB2312" w:cs="宋体"/>
                <w:kern w:val="0"/>
                <w:sz w:val="24"/>
              </w:rPr>
            </w:pPr>
            <w:r>
              <w:rPr>
                <w:rFonts w:hint="eastAsia" w:ascii="仿宋_GB2312" w:hAnsi="宋体" w:eastAsia="仿宋_GB2312" w:cs="宋体"/>
                <w:color w:val="000000"/>
                <w:kern w:val="0"/>
                <w:sz w:val="24"/>
              </w:rPr>
              <w:t>投标人具有卫生医疗系统类软件著作权证书，每提供1项得</w:t>
            </w:r>
            <w:r>
              <w:rPr>
                <w:rFonts w:ascii="仿宋_GB2312" w:hAnsi="宋体" w:eastAsia="仿宋_GB2312" w:cs="宋体"/>
                <w:color w:val="000000"/>
                <w:kern w:val="0"/>
                <w:sz w:val="24"/>
              </w:rPr>
              <w:t>3</w:t>
            </w:r>
            <w:r>
              <w:rPr>
                <w:rFonts w:hint="eastAsia" w:ascii="仿宋_GB2312" w:hAnsi="宋体" w:eastAsia="仿宋_GB2312" w:cs="宋体"/>
                <w:color w:val="000000"/>
                <w:kern w:val="0"/>
                <w:sz w:val="24"/>
              </w:rPr>
              <w:t>分，最高</w:t>
            </w:r>
            <w:r>
              <w:rPr>
                <w:rFonts w:ascii="仿宋_GB2312" w:hAnsi="宋体" w:eastAsia="仿宋_GB2312" w:cs="宋体"/>
                <w:color w:val="000000"/>
                <w:kern w:val="0"/>
                <w:sz w:val="24"/>
              </w:rPr>
              <w:t>6</w:t>
            </w:r>
            <w:r>
              <w:rPr>
                <w:rFonts w:hint="eastAsia" w:ascii="仿宋_GB2312" w:hAnsi="宋体" w:eastAsia="仿宋_GB2312" w:cs="宋体"/>
                <w:color w:val="000000"/>
                <w:kern w:val="0"/>
                <w:sz w:val="24"/>
              </w:rPr>
              <w:t>分。</w:t>
            </w:r>
          </w:p>
        </w:tc>
        <w:tc>
          <w:tcPr>
            <w:tcW w:w="710" w:type="dxa"/>
            <w:vAlign w:val="center"/>
          </w:tcPr>
          <w:p>
            <w:pPr>
              <w:widowControl/>
              <w:spacing w:before="120" w:line="380" w:lineRule="exact"/>
              <w:ind w:right="105"/>
              <w:jc w:val="center"/>
              <w:rPr>
                <w:rFonts w:ascii="仿宋_GB2312" w:hAnsi="宋体" w:eastAsia="仿宋_GB2312" w:cs="宋体"/>
                <w:kern w:val="0"/>
                <w:sz w:val="24"/>
              </w:rPr>
            </w:pPr>
            <w:r>
              <w:rPr>
                <w:rFonts w:ascii="仿宋_GB2312" w:hAnsi="宋体" w:eastAsia="仿宋_GB2312" w:cs="宋体"/>
                <w:kern w:val="0"/>
                <w:sz w:val="24"/>
              </w:rPr>
              <w:t>10</w:t>
            </w:r>
          </w:p>
        </w:tc>
      </w:tr>
    </w:tbl>
    <w:p>
      <w:pPr>
        <w:spacing w:line="360" w:lineRule="auto"/>
        <w:rPr>
          <w:rFonts w:ascii="仿宋" w:hAnsi="仿宋" w:eastAsia="仿宋"/>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4697843"/>
      <w:docPartObj>
        <w:docPartGallery w:val="autotext"/>
      </w:docPartObj>
    </w:sdtPr>
    <w:sdtContent>
      <w:p>
        <w:pPr>
          <w:pStyle w:val="7"/>
          <w:jc w:val="center"/>
        </w:pPr>
        <w:r>
          <w:fldChar w:fldCharType="begin"/>
        </w:r>
        <w:r>
          <w:instrText xml:space="preserve">PAGE   \* MERGEFORMAT</w:instrText>
        </w:r>
        <w:r>
          <w:fldChar w:fldCharType="separate"/>
        </w:r>
        <w:r>
          <w:rPr>
            <w:lang w:val="zh-CN"/>
          </w:rPr>
          <w:t>8</w:t>
        </w:r>
        <w:r>
          <w:fldChar w:fldCharType="end"/>
        </w:r>
      </w:p>
    </w:sdtContent>
  </w:sdt>
  <w:p>
    <w:pPr>
      <w:pStyle w:val="8"/>
    </w:pPr>
    <w:r>
      <w:rPr>
        <w:rFonts w:hint="eastAsia"/>
      </w:rPr>
      <w:t>南通市大数据发展集团有限公司</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right"/>
      <w:rPr>
        <w:rFonts w:asciiTheme="majorEastAsia" w:hAnsiTheme="majorEastAsia" w:eastAsiaTheme="majorEastAsia"/>
        <w:b/>
        <w:sz w:val="18"/>
        <w:szCs w:val="18"/>
      </w:rPr>
    </w:pPr>
    <w:r>
      <w:rPr>
        <w:rFonts w:hint="eastAsia" w:asciiTheme="majorEastAsia" w:hAnsiTheme="majorEastAsia" w:eastAsiaTheme="majorEastAsia"/>
        <w:b/>
        <w:sz w:val="18"/>
        <w:szCs w:val="18"/>
      </w:rPr>
      <w:t>健康南通APP运营服务招标需求及评分表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00273"/>
    <w:rsid w:val="0002101B"/>
    <w:rsid w:val="00027B81"/>
    <w:rsid w:val="00061312"/>
    <w:rsid w:val="00084822"/>
    <w:rsid w:val="000B4A04"/>
    <w:rsid w:val="000B5A41"/>
    <w:rsid w:val="000E047C"/>
    <w:rsid w:val="00124045"/>
    <w:rsid w:val="00135DAE"/>
    <w:rsid w:val="001630CA"/>
    <w:rsid w:val="00191CAE"/>
    <w:rsid w:val="001A58F0"/>
    <w:rsid w:val="001A7CC3"/>
    <w:rsid w:val="001C0B4A"/>
    <w:rsid w:val="001C0F26"/>
    <w:rsid w:val="001C1876"/>
    <w:rsid w:val="001E0E62"/>
    <w:rsid w:val="001F2CA5"/>
    <w:rsid w:val="001F37D5"/>
    <w:rsid w:val="00211EB3"/>
    <w:rsid w:val="00257DF8"/>
    <w:rsid w:val="00281A47"/>
    <w:rsid w:val="002A04D5"/>
    <w:rsid w:val="002A16BD"/>
    <w:rsid w:val="002E5BBB"/>
    <w:rsid w:val="003074D7"/>
    <w:rsid w:val="00314F19"/>
    <w:rsid w:val="00316366"/>
    <w:rsid w:val="00317969"/>
    <w:rsid w:val="00321C82"/>
    <w:rsid w:val="00326D1E"/>
    <w:rsid w:val="00342A2A"/>
    <w:rsid w:val="00351F87"/>
    <w:rsid w:val="00377561"/>
    <w:rsid w:val="003A17CC"/>
    <w:rsid w:val="003B2947"/>
    <w:rsid w:val="00401577"/>
    <w:rsid w:val="00403F31"/>
    <w:rsid w:val="00405720"/>
    <w:rsid w:val="00431783"/>
    <w:rsid w:val="00433930"/>
    <w:rsid w:val="00435DB4"/>
    <w:rsid w:val="00473363"/>
    <w:rsid w:val="0047429C"/>
    <w:rsid w:val="004E71FA"/>
    <w:rsid w:val="00501AD5"/>
    <w:rsid w:val="00521B67"/>
    <w:rsid w:val="00594FBA"/>
    <w:rsid w:val="005B0A62"/>
    <w:rsid w:val="006254A5"/>
    <w:rsid w:val="00634721"/>
    <w:rsid w:val="00634926"/>
    <w:rsid w:val="006517EB"/>
    <w:rsid w:val="00693FD4"/>
    <w:rsid w:val="006A369D"/>
    <w:rsid w:val="006B030B"/>
    <w:rsid w:val="006B6320"/>
    <w:rsid w:val="006C30C1"/>
    <w:rsid w:val="006F50E2"/>
    <w:rsid w:val="00700273"/>
    <w:rsid w:val="00745D4A"/>
    <w:rsid w:val="007569F3"/>
    <w:rsid w:val="007660F7"/>
    <w:rsid w:val="0077042E"/>
    <w:rsid w:val="007C2688"/>
    <w:rsid w:val="007C55DE"/>
    <w:rsid w:val="007C7462"/>
    <w:rsid w:val="007D3A17"/>
    <w:rsid w:val="007F6381"/>
    <w:rsid w:val="00814648"/>
    <w:rsid w:val="00821334"/>
    <w:rsid w:val="00857E9C"/>
    <w:rsid w:val="00891B90"/>
    <w:rsid w:val="00892FFA"/>
    <w:rsid w:val="008A1805"/>
    <w:rsid w:val="008F62E3"/>
    <w:rsid w:val="00910185"/>
    <w:rsid w:val="00913930"/>
    <w:rsid w:val="0091629F"/>
    <w:rsid w:val="00920E2A"/>
    <w:rsid w:val="00962256"/>
    <w:rsid w:val="00992772"/>
    <w:rsid w:val="009968BA"/>
    <w:rsid w:val="00997F5D"/>
    <w:rsid w:val="009C6FFD"/>
    <w:rsid w:val="00A4046B"/>
    <w:rsid w:val="00A55ADA"/>
    <w:rsid w:val="00A67632"/>
    <w:rsid w:val="00AA4D67"/>
    <w:rsid w:val="00AB0324"/>
    <w:rsid w:val="00B25924"/>
    <w:rsid w:val="00B37135"/>
    <w:rsid w:val="00B537CC"/>
    <w:rsid w:val="00B650DE"/>
    <w:rsid w:val="00B72008"/>
    <w:rsid w:val="00BD02F1"/>
    <w:rsid w:val="00BF5062"/>
    <w:rsid w:val="00C110B7"/>
    <w:rsid w:val="00C16C61"/>
    <w:rsid w:val="00C353F6"/>
    <w:rsid w:val="00C47461"/>
    <w:rsid w:val="00C52670"/>
    <w:rsid w:val="00C63A74"/>
    <w:rsid w:val="00C81E1A"/>
    <w:rsid w:val="00C81E55"/>
    <w:rsid w:val="00CF64E0"/>
    <w:rsid w:val="00D34967"/>
    <w:rsid w:val="00D424D8"/>
    <w:rsid w:val="00D5389D"/>
    <w:rsid w:val="00D5411C"/>
    <w:rsid w:val="00D61C60"/>
    <w:rsid w:val="00D87B95"/>
    <w:rsid w:val="00DA389F"/>
    <w:rsid w:val="00DC2DF7"/>
    <w:rsid w:val="00DE7343"/>
    <w:rsid w:val="00DF776F"/>
    <w:rsid w:val="00E02085"/>
    <w:rsid w:val="00E058E4"/>
    <w:rsid w:val="00E1182C"/>
    <w:rsid w:val="00E147B9"/>
    <w:rsid w:val="00E61668"/>
    <w:rsid w:val="00E6351A"/>
    <w:rsid w:val="00E64CD3"/>
    <w:rsid w:val="00EA6652"/>
    <w:rsid w:val="00EA73A5"/>
    <w:rsid w:val="00F41106"/>
    <w:rsid w:val="00F51D8B"/>
    <w:rsid w:val="00F60CE3"/>
    <w:rsid w:val="00F83747"/>
    <w:rsid w:val="00F9570C"/>
    <w:rsid w:val="2A195F39"/>
    <w:rsid w:val="79BE0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99" w:semiHidden="0"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iPriority w:val="99"/>
    <w:pPr>
      <w:spacing w:beforeLines="50"/>
      <w:ind w:firstLine="420" w:firstLineChars="200"/>
    </w:pPr>
    <w:rPr>
      <w:rFonts w:ascii="Times New Roman" w:hAnsi="Times New Roman" w:eastAsia="宋体" w:cs="Times New Roman"/>
      <w:szCs w:val="24"/>
    </w:rPr>
  </w:style>
  <w:style w:type="paragraph" w:styleId="4">
    <w:name w:val="annotation text"/>
    <w:basedOn w:val="1"/>
    <w:link w:val="16"/>
    <w:semiHidden/>
    <w:unhideWhenUsed/>
    <w:qFormat/>
    <w:uiPriority w:val="99"/>
    <w:pPr>
      <w:spacing w:beforeLines="50"/>
      <w:jc w:val="left"/>
    </w:pPr>
    <w:rPr>
      <w:rFonts w:ascii="Times New Roman" w:hAnsi="Times New Roman" w:eastAsia="宋体" w:cs="Times New Roman"/>
      <w:szCs w:val="24"/>
    </w:rPr>
  </w:style>
  <w:style w:type="paragraph" w:styleId="5">
    <w:name w:val="toc 3"/>
    <w:basedOn w:val="1"/>
    <w:next w:val="1"/>
    <w:unhideWhenUsed/>
    <w:qFormat/>
    <w:uiPriority w:val="39"/>
    <w:pPr>
      <w:widowControl/>
      <w:spacing w:after="100" w:line="259" w:lineRule="auto"/>
      <w:ind w:left="440"/>
      <w:jc w:val="left"/>
    </w:pPr>
    <w:rPr>
      <w:rFonts w:cs="Times New Roman"/>
      <w:kern w:val="0"/>
      <w:sz w:val="22"/>
    </w:rPr>
  </w:style>
  <w:style w:type="paragraph" w:styleId="6">
    <w:name w:val="Balloon Text"/>
    <w:basedOn w:val="1"/>
    <w:link w:val="17"/>
    <w:semiHidden/>
    <w:unhideWhenUsed/>
    <w:uiPriority w:val="99"/>
    <w:rPr>
      <w:sz w:val="18"/>
      <w:szCs w:val="18"/>
    </w:rPr>
  </w:style>
  <w:style w:type="paragraph" w:styleId="7">
    <w:name w:val="footer"/>
    <w:basedOn w:val="1"/>
    <w:link w:val="19"/>
    <w:unhideWhenUsed/>
    <w:uiPriority w:val="99"/>
    <w:pPr>
      <w:tabs>
        <w:tab w:val="center" w:pos="4153"/>
        <w:tab w:val="right" w:pos="8306"/>
      </w:tabs>
      <w:snapToGrid w:val="0"/>
      <w:jc w:val="left"/>
    </w:pPr>
    <w:rPr>
      <w:sz w:val="18"/>
      <w:szCs w:val="18"/>
    </w:rPr>
  </w:style>
  <w:style w:type="paragraph" w:styleId="8">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uiPriority w:val="39"/>
  </w:style>
  <w:style w:type="paragraph" w:styleId="10">
    <w:name w:val="toc 2"/>
    <w:basedOn w:val="1"/>
    <w:next w:val="1"/>
    <w:unhideWhenUsed/>
    <w:qFormat/>
    <w:uiPriority w:val="39"/>
    <w:pPr>
      <w:widowControl/>
      <w:spacing w:after="100" w:line="259" w:lineRule="auto"/>
      <w:ind w:left="220"/>
      <w:jc w:val="left"/>
    </w:pPr>
    <w:rPr>
      <w:rFonts w:cs="Times New Roman"/>
      <w:kern w:val="0"/>
      <w:sz w:val="22"/>
    </w:rPr>
  </w:style>
  <w:style w:type="character" w:styleId="13">
    <w:name w:val="Hyperlink"/>
    <w:basedOn w:val="12"/>
    <w:unhideWhenUsed/>
    <w:qFormat/>
    <w:uiPriority w:val="99"/>
    <w:rPr>
      <w:color w:val="0563C1" w:themeColor="hyperlink"/>
      <w:u w:val="single"/>
    </w:rPr>
  </w:style>
  <w:style w:type="character" w:styleId="14">
    <w:name w:val="annotation reference"/>
    <w:basedOn w:val="12"/>
    <w:semiHidden/>
    <w:unhideWhenUsed/>
    <w:qFormat/>
    <w:uiPriority w:val="99"/>
    <w:rPr>
      <w:sz w:val="21"/>
      <w:szCs w:val="21"/>
    </w:rPr>
  </w:style>
  <w:style w:type="paragraph" w:styleId="15">
    <w:name w:val="List Paragraph"/>
    <w:basedOn w:val="1"/>
    <w:qFormat/>
    <w:uiPriority w:val="34"/>
    <w:pPr>
      <w:ind w:firstLine="420" w:firstLineChars="200"/>
    </w:pPr>
  </w:style>
  <w:style w:type="character" w:customStyle="1" w:styleId="16">
    <w:name w:val="批注文字 字符"/>
    <w:basedOn w:val="12"/>
    <w:link w:val="4"/>
    <w:semiHidden/>
    <w:uiPriority w:val="99"/>
    <w:rPr>
      <w:rFonts w:ascii="Times New Roman" w:hAnsi="Times New Roman" w:eastAsia="宋体" w:cs="Times New Roman"/>
      <w:szCs w:val="24"/>
    </w:rPr>
  </w:style>
  <w:style w:type="character" w:customStyle="1" w:styleId="17">
    <w:name w:val="批注框文本 字符"/>
    <w:basedOn w:val="12"/>
    <w:link w:val="6"/>
    <w:semiHidden/>
    <w:uiPriority w:val="99"/>
    <w:rPr>
      <w:sz w:val="18"/>
      <w:szCs w:val="18"/>
    </w:rPr>
  </w:style>
  <w:style w:type="character" w:customStyle="1" w:styleId="18">
    <w:name w:val="页眉 字符"/>
    <w:basedOn w:val="12"/>
    <w:link w:val="8"/>
    <w:uiPriority w:val="99"/>
    <w:rPr>
      <w:sz w:val="18"/>
      <w:szCs w:val="18"/>
    </w:rPr>
  </w:style>
  <w:style w:type="character" w:customStyle="1" w:styleId="19">
    <w:name w:val="页脚 字符"/>
    <w:basedOn w:val="12"/>
    <w:link w:val="7"/>
    <w:uiPriority w:val="99"/>
    <w:rPr>
      <w:sz w:val="18"/>
      <w:szCs w:val="18"/>
    </w:rPr>
  </w:style>
  <w:style w:type="character" w:customStyle="1" w:styleId="20">
    <w:name w:val="标题 1 字符"/>
    <w:basedOn w:val="12"/>
    <w:link w:val="2"/>
    <w:uiPriority w:val="9"/>
    <w:rPr>
      <w:b/>
      <w:bCs/>
      <w:kern w:val="44"/>
      <w:sz w:val="44"/>
      <w:szCs w:val="44"/>
    </w:rPr>
  </w:style>
  <w:style w:type="paragraph" w:customStyle="1" w:styleId="21">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4296DE-5C2D-4446-B142-84D5CA95A9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537</Words>
  <Characters>3066</Characters>
  <Lines>25</Lines>
  <Paragraphs>7</Paragraphs>
  <TotalTime>73</TotalTime>
  <ScaleCrop>false</ScaleCrop>
  <LinksUpToDate>false</LinksUpToDate>
  <CharactersWithSpaces>3596</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2019-06-24T06:45:00Z</dcterms:created>
  <dc:creator>Ma Steel</dc:creator>
  <cp:lastModifiedBy>吴大宝</cp:lastModifiedBy>
  <dcterms:modified xsi:type="dcterms:W3CDTF">2020-03-13T03:05:16Z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